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F2" w:rsidRPr="00AE60B8" w:rsidRDefault="00C21AF2" w:rsidP="00F966DF"/>
    <w:p w:rsidR="00C21AF2" w:rsidRPr="00AE60B8" w:rsidRDefault="00C21AF2" w:rsidP="00F966DF"/>
    <w:p w:rsidR="00C21AF2" w:rsidRPr="00AE60B8" w:rsidRDefault="00C21AF2" w:rsidP="00F966DF"/>
    <w:p w:rsidR="00882D47" w:rsidRPr="00AE60B8" w:rsidRDefault="007B5408" w:rsidP="00F966DF">
      <w:r w:rsidRPr="00AE60B8">
        <w:rPr>
          <w:noProof/>
        </w:rPr>
        <w:drawing>
          <wp:anchor distT="0" distB="0" distL="114300" distR="114300" simplePos="0" relativeHeight="251658240" behindDoc="0" locked="0" layoutInCell="1" allowOverlap="1" wp14:anchorId="2050460F" wp14:editId="2050461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81405" cy="588645"/>
            <wp:effectExtent l="0" t="0" r="4445" b="1905"/>
            <wp:wrapSquare wrapText="bothSides"/>
            <wp:docPr id="12" name="obrázek 2" descr="er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u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D47" w:rsidRPr="00AE60B8" w:rsidRDefault="00295190" w:rsidP="00F966DF">
      <w:pPr>
        <w:jc w:val="right"/>
      </w:pPr>
      <w:r w:rsidRPr="00AE60B8">
        <w:t>26</w:t>
      </w:r>
      <w:r w:rsidR="00882D47" w:rsidRPr="00AE60B8">
        <w:t>.</w:t>
      </w:r>
      <w:r w:rsidR="001B6BB0" w:rsidRPr="00AE60B8">
        <w:t xml:space="preserve"> </w:t>
      </w:r>
      <w:r w:rsidR="00882D47" w:rsidRPr="00AE60B8">
        <w:t>listopadu</w:t>
      </w:r>
      <w:r w:rsidR="001B6BB0" w:rsidRPr="00AE60B8">
        <w:t xml:space="preserve"> </w:t>
      </w:r>
      <w:r w:rsidR="008C7D53" w:rsidRPr="00AE60B8">
        <w:t>2015</w:t>
      </w:r>
    </w:p>
    <w:p w:rsidR="006D7D82" w:rsidRPr="00AE60B8" w:rsidRDefault="006D7D82" w:rsidP="00F966DF"/>
    <w:p w:rsidR="00882D47" w:rsidRPr="00AE60B8" w:rsidRDefault="00882D47" w:rsidP="006D7D82">
      <w:pPr>
        <w:spacing w:after="120"/>
        <w:jc w:val="center"/>
        <w:rPr>
          <w:b/>
          <w:sz w:val="28"/>
          <w:szCs w:val="28"/>
        </w:rPr>
      </w:pPr>
      <w:r w:rsidRPr="00AE60B8">
        <w:rPr>
          <w:b/>
          <w:sz w:val="28"/>
          <w:szCs w:val="28"/>
        </w:rPr>
        <w:t>Tisková</w:t>
      </w:r>
      <w:r w:rsidR="001B6BB0" w:rsidRPr="00AE60B8">
        <w:rPr>
          <w:b/>
          <w:sz w:val="28"/>
          <w:szCs w:val="28"/>
        </w:rPr>
        <w:t xml:space="preserve"> </w:t>
      </w:r>
      <w:r w:rsidRPr="00AE60B8">
        <w:rPr>
          <w:b/>
          <w:sz w:val="28"/>
          <w:szCs w:val="28"/>
        </w:rPr>
        <w:t>zpráva</w:t>
      </w:r>
    </w:p>
    <w:p w:rsidR="00301DFC" w:rsidRDefault="00007EBE" w:rsidP="00301DFC">
      <w:pPr>
        <w:jc w:val="center"/>
        <w:rPr>
          <w:b/>
          <w:szCs w:val="28"/>
        </w:rPr>
      </w:pPr>
      <w:r w:rsidRPr="00AE60B8">
        <w:rPr>
          <w:b/>
          <w:szCs w:val="28"/>
        </w:rPr>
        <w:t xml:space="preserve">k cenovému rozhodnutí ERÚ č. </w:t>
      </w:r>
      <w:r w:rsidR="00814A0E" w:rsidRPr="006948EF">
        <w:rPr>
          <w:b/>
          <w:szCs w:val="28"/>
        </w:rPr>
        <w:t>6</w:t>
      </w:r>
      <w:r w:rsidRPr="00AE60B8">
        <w:rPr>
          <w:b/>
          <w:szCs w:val="28"/>
        </w:rPr>
        <w:t>/</w:t>
      </w:r>
      <w:r w:rsidR="00301DFC">
        <w:rPr>
          <w:b/>
          <w:szCs w:val="28"/>
        </w:rPr>
        <w:t>2015</w:t>
      </w:r>
      <w:r w:rsidRPr="00AE60B8">
        <w:rPr>
          <w:b/>
          <w:szCs w:val="28"/>
        </w:rPr>
        <w:t>, o regulovaných cenách</w:t>
      </w:r>
    </w:p>
    <w:p w:rsidR="00007EBE" w:rsidRPr="00AE60B8" w:rsidRDefault="00007EBE" w:rsidP="00301DFC">
      <w:pPr>
        <w:jc w:val="center"/>
        <w:rPr>
          <w:b/>
          <w:szCs w:val="28"/>
        </w:rPr>
      </w:pPr>
      <w:r w:rsidRPr="00AE60B8">
        <w:rPr>
          <w:b/>
          <w:szCs w:val="28"/>
        </w:rPr>
        <w:t>souvisejících s dodávkou plynu pro rok 2016</w:t>
      </w:r>
    </w:p>
    <w:p w:rsidR="00882D47" w:rsidRPr="00AE60B8" w:rsidRDefault="00882D47" w:rsidP="00F966DF"/>
    <w:p w:rsidR="00235E1F" w:rsidRDefault="009A723B" w:rsidP="00235E1F">
      <w:pPr>
        <w:jc w:val="center"/>
        <w:rPr>
          <w:b/>
          <w:spacing w:val="-4"/>
          <w:sz w:val="28"/>
          <w:szCs w:val="28"/>
        </w:rPr>
      </w:pPr>
      <w:r w:rsidRPr="00AE60B8">
        <w:rPr>
          <w:b/>
          <w:spacing w:val="-4"/>
          <w:sz w:val="28"/>
          <w:szCs w:val="28"/>
        </w:rPr>
        <w:t>Konečné c</w:t>
      </w:r>
      <w:r w:rsidR="005F1159" w:rsidRPr="00AE60B8">
        <w:rPr>
          <w:b/>
          <w:spacing w:val="-4"/>
          <w:sz w:val="28"/>
          <w:szCs w:val="28"/>
        </w:rPr>
        <w:t xml:space="preserve">eny </w:t>
      </w:r>
      <w:r w:rsidR="00814A0E" w:rsidRPr="00AE60B8">
        <w:rPr>
          <w:b/>
          <w:spacing w:val="-4"/>
          <w:sz w:val="28"/>
          <w:szCs w:val="28"/>
        </w:rPr>
        <w:t xml:space="preserve">služeb dodávky </w:t>
      </w:r>
      <w:r w:rsidR="005F1159" w:rsidRPr="00AE60B8">
        <w:rPr>
          <w:b/>
          <w:spacing w:val="-4"/>
          <w:sz w:val="28"/>
          <w:szCs w:val="28"/>
        </w:rPr>
        <w:t xml:space="preserve">plynu pro rok </w:t>
      </w:r>
      <w:r w:rsidR="00814A0E" w:rsidRPr="00AE60B8">
        <w:rPr>
          <w:b/>
          <w:spacing w:val="-4"/>
          <w:sz w:val="28"/>
          <w:szCs w:val="28"/>
        </w:rPr>
        <w:t>2016</w:t>
      </w:r>
    </w:p>
    <w:p w:rsidR="00686CD5" w:rsidRPr="00AE60B8" w:rsidRDefault="005F1159" w:rsidP="00235E1F">
      <w:pPr>
        <w:jc w:val="center"/>
        <w:rPr>
          <w:b/>
          <w:spacing w:val="-4"/>
          <w:sz w:val="28"/>
          <w:szCs w:val="28"/>
        </w:rPr>
      </w:pPr>
      <w:r w:rsidRPr="00AE60B8">
        <w:rPr>
          <w:b/>
          <w:spacing w:val="-4"/>
          <w:sz w:val="28"/>
          <w:szCs w:val="28"/>
        </w:rPr>
        <w:t xml:space="preserve">zůstanou na </w:t>
      </w:r>
      <w:r w:rsidR="00B55B3F" w:rsidRPr="00AE60B8">
        <w:rPr>
          <w:b/>
          <w:spacing w:val="-4"/>
          <w:sz w:val="28"/>
          <w:szCs w:val="28"/>
        </w:rPr>
        <w:t>s</w:t>
      </w:r>
      <w:r w:rsidR="00B55B3F">
        <w:rPr>
          <w:b/>
          <w:spacing w:val="-4"/>
          <w:sz w:val="28"/>
          <w:szCs w:val="28"/>
        </w:rPr>
        <w:t>rovnatelné</w:t>
      </w:r>
      <w:r w:rsidR="00B55B3F" w:rsidRPr="00AE60B8">
        <w:rPr>
          <w:b/>
          <w:spacing w:val="-4"/>
          <w:sz w:val="28"/>
          <w:szCs w:val="28"/>
        </w:rPr>
        <w:t xml:space="preserve"> </w:t>
      </w:r>
      <w:r w:rsidRPr="00AE60B8">
        <w:rPr>
          <w:b/>
          <w:spacing w:val="-4"/>
          <w:sz w:val="28"/>
          <w:szCs w:val="28"/>
        </w:rPr>
        <w:t>úrovni jako letos</w:t>
      </w:r>
    </w:p>
    <w:p w:rsidR="006D7D82" w:rsidRPr="00AE60B8" w:rsidRDefault="006D7D82" w:rsidP="00F966DF"/>
    <w:p w:rsidR="005F1159" w:rsidRPr="00AE60B8" w:rsidRDefault="00295190" w:rsidP="00301DFC">
      <w:pPr>
        <w:pStyle w:val="odstavec"/>
        <w:spacing w:after="240"/>
        <w:ind w:firstLine="0"/>
      </w:pPr>
      <w:r w:rsidRPr="00AE60B8">
        <w:t xml:space="preserve">Konečné ceny </w:t>
      </w:r>
      <w:r w:rsidR="00814A0E" w:rsidRPr="00AE60B8">
        <w:t xml:space="preserve">služeb dodávky </w:t>
      </w:r>
      <w:r w:rsidR="002763CA" w:rsidRPr="00AE60B8">
        <w:t xml:space="preserve">plynu pro rok </w:t>
      </w:r>
      <w:r w:rsidRPr="00AE60B8">
        <w:t xml:space="preserve">2016 zůstanou na </w:t>
      </w:r>
      <w:r w:rsidR="00B55B3F">
        <w:t>srovnatelné</w:t>
      </w:r>
      <w:r w:rsidR="00B55B3F" w:rsidRPr="00AE60B8">
        <w:t xml:space="preserve"> </w:t>
      </w:r>
      <w:r w:rsidRPr="00AE60B8">
        <w:t xml:space="preserve">úrovni jako v roce 2015, regulované části ceny mírně vzrostou. </w:t>
      </w:r>
      <w:r w:rsidR="00B55B3F">
        <w:t xml:space="preserve">Dle vývoje velkoobchodních cen plynu lze očekávat pokles neregulované části ceny v řádu několika procent. </w:t>
      </w:r>
      <w:r w:rsidRPr="00AE60B8">
        <w:t xml:space="preserve">Stejně jako v minulých letech se ERÚ podařilo dosáhnout úspor v hodnotě aktiv, jež vstupují do regulace, negativně se </w:t>
      </w:r>
      <w:r w:rsidR="004E7F39" w:rsidRPr="00AE60B8">
        <w:t>projevil</w:t>
      </w:r>
      <w:r w:rsidRPr="00AE60B8">
        <w:t>y</w:t>
      </w:r>
      <w:r w:rsidR="004E7F39" w:rsidRPr="00AE60B8">
        <w:t xml:space="preserve"> </w:t>
      </w:r>
      <w:r w:rsidR="00F476E8" w:rsidRPr="00AE60B8">
        <w:t xml:space="preserve">zejména </w:t>
      </w:r>
      <w:r w:rsidR="004E7F39" w:rsidRPr="00AE60B8">
        <w:t>nadprůměrně tepl</w:t>
      </w:r>
      <w:r w:rsidRPr="00AE60B8">
        <w:t>é</w:t>
      </w:r>
      <w:r w:rsidR="004E7F39" w:rsidRPr="00AE60B8">
        <w:t xml:space="preserve"> zim</w:t>
      </w:r>
      <w:r w:rsidRPr="00AE60B8">
        <w:t>y a</w:t>
      </w:r>
      <w:r w:rsidR="00AE60B8">
        <w:t> </w:t>
      </w:r>
      <w:r w:rsidRPr="00AE60B8">
        <w:t>nižší spotřeba plynu</w:t>
      </w:r>
      <w:r w:rsidR="004E7F39" w:rsidRPr="00AE60B8">
        <w:t>. Oznámila to dnes předsedkyně ERÚ Alena Vitásková.</w:t>
      </w:r>
    </w:p>
    <w:p w:rsidR="004E7F39" w:rsidRPr="00AE60B8" w:rsidRDefault="004E7F39" w:rsidP="00301DFC">
      <w:pPr>
        <w:pStyle w:val="odstavec"/>
        <w:spacing w:after="240"/>
        <w:ind w:firstLine="0"/>
      </w:pPr>
      <w:r w:rsidRPr="00AE60B8">
        <w:t>„</w:t>
      </w:r>
      <w:r w:rsidR="00295190" w:rsidRPr="00AE60B8">
        <w:t xml:space="preserve">Podařilo se nám i přes obstrukce </w:t>
      </w:r>
      <w:r w:rsidR="00814A0E" w:rsidRPr="00AE60B8">
        <w:t xml:space="preserve">pracovní komise legislativní </w:t>
      </w:r>
      <w:r w:rsidR="00295190" w:rsidRPr="00AE60B8">
        <w:t>rady vlády prosadit pravi</w:t>
      </w:r>
      <w:r w:rsidR="00814A0E" w:rsidRPr="00AE60B8">
        <w:t>d</w:t>
      </w:r>
      <w:r w:rsidR="00295190" w:rsidRPr="00AE60B8">
        <w:t>la pro IV.</w:t>
      </w:r>
      <w:r w:rsidR="000B0669">
        <w:t> </w:t>
      </w:r>
      <w:bookmarkStart w:id="0" w:name="_GoBack"/>
      <w:bookmarkEnd w:id="0"/>
      <w:r w:rsidR="00295190" w:rsidRPr="00AE60B8">
        <w:t>regulační období v </w:t>
      </w:r>
      <w:proofErr w:type="spellStart"/>
      <w:r w:rsidR="00295190" w:rsidRPr="00AE60B8">
        <w:t>plynárentsví</w:t>
      </w:r>
      <w:proofErr w:type="spellEnd"/>
      <w:r w:rsidR="00295190" w:rsidRPr="00AE60B8">
        <w:t xml:space="preserve">. Díky tomu jsme i přes řadu negativních faktorů udrželi cenu na hodnotách z loňského roku. Na regulovanou složku ceny negativně působil především fakt, že kvůli teplé zimě a nižší spotřebě plynu nevybraly distribuční společnosti </w:t>
      </w:r>
      <w:r w:rsidR="00814A0E" w:rsidRPr="00AE60B8">
        <w:t>stanovené prostředky</w:t>
      </w:r>
      <w:r w:rsidR="00295190" w:rsidRPr="00AE60B8">
        <w:t xml:space="preserve"> na provoz </w:t>
      </w:r>
      <w:r w:rsidR="00814A0E" w:rsidRPr="00AE60B8">
        <w:t>soustav</w:t>
      </w:r>
      <w:r w:rsidR="00295190" w:rsidRPr="00AE60B8">
        <w:t>, a museli jsme tedy tuto ztrátu dorovnat</w:t>
      </w:r>
      <w:r w:rsidR="00A31751">
        <w:t xml:space="preserve"> v souladu se závaznými právními předpisy</w:t>
      </w:r>
      <w:r w:rsidR="001126F5">
        <w:t xml:space="preserve">. </w:t>
      </w:r>
      <w:r w:rsidR="00955BA8">
        <w:t>S provozovateli plynárenských soustav jsme v této záležitosti vedli jednání a dohodli jsme se na rozložení těchto korekčních faktorů do více let, aby byla zachována stabilita regulovaných cen</w:t>
      </w:r>
      <w:r w:rsidR="00A31751">
        <w:t xml:space="preserve"> a co nejvíce zmírněny dopady tohoto negativního jevu</w:t>
      </w:r>
      <w:r w:rsidR="00955BA8">
        <w:t>,</w:t>
      </w:r>
      <w:r w:rsidRPr="00AE60B8">
        <w:t>“ uvedla Alena Vitásková.</w:t>
      </w:r>
    </w:p>
    <w:p w:rsidR="00A133FE" w:rsidRDefault="00A133FE" w:rsidP="00301DFC">
      <w:pPr>
        <w:pStyle w:val="odstavec"/>
        <w:spacing w:after="240"/>
        <w:ind w:firstLine="0"/>
      </w:pPr>
      <w:r w:rsidRPr="00AE60B8">
        <w:t>Energetický</w:t>
      </w:r>
      <w:r w:rsidR="001B6BB0" w:rsidRPr="00AE60B8">
        <w:t xml:space="preserve"> </w:t>
      </w:r>
      <w:r w:rsidRPr="00AE60B8">
        <w:t>regulační</w:t>
      </w:r>
      <w:r w:rsidR="001B6BB0" w:rsidRPr="00AE60B8">
        <w:t xml:space="preserve"> </w:t>
      </w:r>
      <w:r w:rsidRPr="00AE60B8">
        <w:t>úřad</w:t>
      </w:r>
      <w:r w:rsidR="001B6BB0" w:rsidRPr="00AE60B8">
        <w:t xml:space="preserve"> </w:t>
      </w:r>
      <w:r w:rsidRPr="00AE60B8">
        <w:t>v</w:t>
      </w:r>
      <w:r w:rsidR="001B6BB0" w:rsidRPr="00AE60B8">
        <w:t xml:space="preserve"> </w:t>
      </w:r>
      <w:r w:rsidRPr="00AE60B8">
        <w:t>souladu</w:t>
      </w:r>
      <w:r w:rsidR="001B6BB0" w:rsidRPr="00AE60B8">
        <w:t xml:space="preserve"> </w:t>
      </w:r>
      <w:r w:rsidRPr="00AE60B8">
        <w:t>se</w:t>
      </w:r>
      <w:r w:rsidR="001B6BB0" w:rsidRPr="00AE60B8">
        <w:t xml:space="preserve"> </w:t>
      </w:r>
      <w:r w:rsidRPr="00AE60B8">
        <w:t>zákonem</w:t>
      </w:r>
      <w:r w:rsidR="001B6BB0" w:rsidRPr="00AE60B8">
        <w:t xml:space="preserve"> </w:t>
      </w:r>
      <w:r w:rsidRPr="00AE60B8">
        <w:t>č.</w:t>
      </w:r>
      <w:r w:rsidR="001B6BB0" w:rsidRPr="00AE60B8">
        <w:t xml:space="preserve"> </w:t>
      </w:r>
      <w:r w:rsidRPr="00AE60B8">
        <w:t>458/2000</w:t>
      </w:r>
      <w:r w:rsidR="001B6BB0" w:rsidRPr="00AE60B8">
        <w:t xml:space="preserve"> </w:t>
      </w:r>
      <w:r w:rsidRPr="00AE60B8">
        <w:t>Sb.,</w:t>
      </w:r>
      <w:r w:rsidR="001B6BB0" w:rsidRPr="00AE60B8">
        <w:t xml:space="preserve"> </w:t>
      </w:r>
      <w:r w:rsidRPr="00AE60B8">
        <w:t>o</w:t>
      </w:r>
      <w:r w:rsidR="001B6BB0" w:rsidRPr="00AE60B8">
        <w:t xml:space="preserve"> </w:t>
      </w:r>
      <w:r w:rsidRPr="00AE60B8">
        <w:t>podmínkách</w:t>
      </w:r>
      <w:r w:rsidR="001B6BB0" w:rsidRPr="00AE60B8">
        <w:t xml:space="preserve"> </w:t>
      </w:r>
      <w:r w:rsidRPr="00AE60B8">
        <w:t>podnikání</w:t>
      </w:r>
      <w:r w:rsidR="001B6BB0" w:rsidRPr="00AE60B8">
        <w:t xml:space="preserve"> </w:t>
      </w:r>
      <w:r w:rsidRPr="00AE60B8">
        <w:t>a</w:t>
      </w:r>
      <w:r w:rsidR="001B6BB0" w:rsidRPr="00AE60B8">
        <w:t> </w:t>
      </w:r>
      <w:r w:rsidRPr="00AE60B8">
        <w:t>o</w:t>
      </w:r>
      <w:r w:rsidR="001B6BB0" w:rsidRPr="00AE60B8">
        <w:t> </w:t>
      </w:r>
      <w:r w:rsidRPr="00AE60B8">
        <w:t>výkonu</w:t>
      </w:r>
      <w:r w:rsidR="001B6BB0" w:rsidRPr="00AE60B8">
        <w:t xml:space="preserve"> </w:t>
      </w:r>
      <w:r w:rsidRPr="00AE60B8">
        <w:t>státní</w:t>
      </w:r>
      <w:r w:rsidR="001B6BB0" w:rsidRPr="00AE60B8">
        <w:t xml:space="preserve"> </w:t>
      </w:r>
      <w:r w:rsidRPr="00AE60B8">
        <w:t>správy</w:t>
      </w:r>
      <w:r w:rsidR="001B6BB0" w:rsidRPr="00AE60B8">
        <w:t xml:space="preserve"> </w:t>
      </w:r>
      <w:r w:rsidRPr="00AE60B8">
        <w:t>v</w:t>
      </w:r>
      <w:r w:rsidR="001B6BB0" w:rsidRPr="00AE60B8">
        <w:t xml:space="preserve"> </w:t>
      </w:r>
      <w:r w:rsidRPr="00AE60B8">
        <w:t>energetických</w:t>
      </w:r>
      <w:r w:rsidR="001B6BB0" w:rsidRPr="00AE60B8">
        <w:t xml:space="preserve"> </w:t>
      </w:r>
      <w:r w:rsidRPr="00AE60B8">
        <w:t>odvětv</w:t>
      </w:r>
      <w:r w:rsidR="00C2632A" w:rsidRPr="00AE60B8">
        <w:t>ích</w:t>
      </w:r>
      <w:r w:rsidR="001B6BB0" w:rsidRPr="00AE60B8">
        <w:t xml:space="preserve"> </w:t>
      </w:r>
      <w:r w:rsidR="00C2632A" w:rsidRPr="00AE60B8">
        <w:t>a</w:t>
      </w:r>
      <w:r w:rsidR="001B6BB0" w:rsidRPr="00AE60B8">
        <w:t xml:space="preserve"> </w:t>
      </w:r>
      <w:r w:rsidR="00C2632A" w:rsidRPr="00AE60B8">
        <w:t>o</w:t>
      </w:r>
      <w:r w:rsidR="001B6BB0" w:rsidRPr="00AE60B8">
        <w:t xml:space="preserve"> </w:t>
      </w:r>
      <w:r w:rsidR="00C2632A" w:rsidRPr="00AE60B8">
        <w:t>změně</w:t>
      </w:r>
      <w:r w:rsidR="001B6BB0" w:rsidRPr="00AE60B8">
        <w:t xml:space="preserve"> </w:t>
      </w:r>
      <w:r w:rsidR="00C2632A" w:rsidRPr="00AE60B8">
        <w:t>některých</w:t>
      </w:r>
      <w:r w:rsidR="001B6BB0" w:rsidRPr="00AE60B8">
        <w:t xml:space="preserve"> </w:t>
      </w:r>
      <w:r w:rsidR="00C2632A" w:rsidRPr="00AE60B8">
        <w:t>zákonů</w:t>
      </w:r>
      <w:r w:rsidR="001B6BB0" w:rsidRPr="00AE60B8">
        <w:t xml:space="preserve"> </w:t>
      </w:r>
      <w:r w:rsidR="00C2632A" w:rsidRPr="00AE60B8">
        <w:t>(</w:t>
      </w:r>
      <w:r w:rsidRPr="00AE60B8">
        <w:t>energetický</w:t>
      </w:r>
      <w:r w:rsidR="001B6BB0" w:rsidRPr="00AE60B8">
        <w:t xml:space="preserve"> </w:t>
      </w:r>
      <w:r w:rsidRPr="00AE60B8">
        <w:t>zákon),</w:t>
      </w:r>
      <w:r w:rsidR="001B6BB0" w:rsidRPr="00AE60B8">
        <w:t xml:space="preserve"> </w:t>
      </w:r>
      <w:r w:rsidRPr="00AE60B8">
        <w:t>ve</w:t>
      </w:r>
      <w:r w:rsidR="001B6BB0" w:rsidRPr="00AE60B8">
        <w:t xml:space="preserve"> </w:t>
      </w:r>
      <w:r w:rsidRPr="00AE60B8">
        <w:t>znění</w:t>
      </w:r>
      <w:r w:rsidR="001B6BB0" w:rsidRPr="00AE60B8">
        <w:t xml:space="preserve"> </w:t>
      </w:r>
      <w:r w:rsidRPr="00AE60B8">
        <w:t>pozdějších</w:t>
      </w:r>
      <w:r w:rsidR="001B6BB0" w:rsidRPr="00AE60B8">
        <w:t xml:space="preserve"> </w:t>
      </w:r>
      <w:r w:rsidRPr="00AE60B8">
        <w:t>předpisů</w:t>
      </w:r>
      <w:r w:rsidR="002F6110" w:rsidRPr="00AE60B8">
        <w:t>,</w:t>
      </w:r>
      <w:r w:rsidR="001B6BB0" w:rsidRPr="00AE60B8">
        <w:t xml:space="preserve"> </w:t>
      </w:r>
      <w:r w:rsidRPr="00AE60B8">
        <w:t>vyhláškou</w:t>
      </w:r>
      <w:r w:rsidR="001B6BB0" w:rsidRPr="00AE60B8">
        <w:t xml:space="preserve"> </w:t>
      </w:r>
      <w:r w:rsidRPr="00AE60B8">
        <w:t>č.</w:t>
      </w:r>
      <w:r w:rsidR="001B6BB0" w:rsidRPr="00AE60B8">
        <w:t xml:space="preserve"> </w:t>
      </w:r>
      <w:r w:rsidR="008B02E8" w:rsidRPr="00AE60B8">
        <w:t>195</w:t>
      </w:r>
      <w:r w:rsidRPr="00AE60B8">
        <w:t>/20</w:t>
      </w:r>
      <w:r w:rsidR="008B02E8" w:rsidRPr="00AE60B8">
        <w:t>14</w:t>
      </w:r>
      <w:r w:rsidR="001B6BB0" w:rsidRPr="00AE60B8">
        <w:t xml:space="preserve"> </w:t>
      </w:r>
      <w:r w:rsidRPr="00AE60B8">
        <w:t>Sb.</w:t>
      </w:r>
      <w:r w:rsidR="00724DB1" w:rsidRPr="00AE60B8">
        <w:t>,</w:t>
      </w:r>
      <w:r w:rsidR="001B6BB0" w:rsidRPr="00AE60B8">
        <w:t xml:space="preserve"> </w:t>
      </w:r>
      <w:r w:rsidRPr="00AE60B8">
        <w:t>o</w:t>
      </w:r>
      <w:r w:rsidR="001B6BB0" w:rsidRPr="00AE60B8">
        <w:t xml:space="preserve"> </w:t>
      </w:r>
      <w:r w:rsidRPr="00AE60B8">
        <w:t>způsobu</w:t>
      </w:r>
      <w:r w:rsidR="001B6BB0" w:rsidRPr="00AE60B8">
        <w:t xml:space="preserve"> </w:t>
      </w:r>
      <w:r w:rsidRPr="00AE60B8">
        <w:t>regulace</w:t>
      </w:r>
      <w:r w:rsidR="001B6BB0" w:rsidRPr="00AE60B8">
        <w:t xml:space="preserve"> </w:t>
      </w:r>
      <w:r w:rsidRPr="00AE60B8">
        <w:t>cen</w:t>
      </w:r>
      <w:r w:rsidR="001B6BB0" w:rsidRPr="00AE60B8">
        <w:t xml:space="preserve"> </w:t>
      </w:r>
      <w:r w:rsidR="008B02E8" w:rsidRPr="00AE60B8">
        <w:t>a postupech pro regulaci cen v plynárenství</w:t>
      </w:r>
      <w:r w:rsidR="001B6BB0" w:rsidRPr="00AE60B8">
        <w:t xml:space="preserve"> </w:t>
      </w:r>
      <w:r w:rsidR="00007EBE" w:rsidRPr="00AE60B8">
        <w:t xml:space="preserve">a v souladu se zveřejněnými Zásadami cenové regulace pro období </w:t>
      </w:r>
      <w:r w:rsidR="009F472E" w:rsidRPr="00AE60B8">
        <w:br/>
      </w:r>
      <w:r w:rsidR="00007EBE" w:rsidRPr="00AE60B8">
        <w:t xml:space="preserve">2016-2018 pro odvětví elektroenergetiky, plynárenství a pro činnosti operátora trhu v elektroenergetice a plynárenství </w:t>
      </w:r>
      <w:r w:rsidR="00FE5C7B" w:rsidRPr="00AE60B8">
        <w:t xml:space="preserve">(„Zásady“) </w:t>
      </w:r>
      <w:r w:rsidRPr="00AE60B8">
        <w:t>stanovuje</w:t>
      </w:r>
      <w:r w:rsidR="001B6BB0" w:rsidRPr="00AE60B8">
        <w:t xml:space="preserve"> </w:t>
      </w:r>
      <w:r w:rsidRPr="00AE60B8">
        <w:t>každoročně</w:t>
      </w:r>
      <w:r w:rsidR="001B6BB0" w:rsidRPr="00AE60B8">
        <w:t xml:space="preserve"> </w:t>
      </w:r>
      <w:r w:rsidR="00DB2E74" w:rsidRPr="00AE60B8">
        <w:t xml:space="preserve">regulované </w:t>
      </w:r>
      <w:r w:rsidRPr="00AE60B8">
        <w:t>ceny</w:t>
      </w:r>
      <w:r w:rsidR="001B6BB0" w:rsidRPr="00AE60B8">
        <w:t xml:space="preserve"> </w:t>
      </w:r>
      <w:r w:rsidRPr="00AE60B8">
        <w:t>související</w:t>
      </w:r>
      <w:r w:rsidR="001B6BB0" w:rsidRPr="00AE60B8">
        <w:t xml:space="preserve"> </w:t>
      </w:r>
      <w:r w:rsidRPr="00AE60B8">
        <w:t>s</w:t>
      </w:r>
      <w:r w:rsidR="0064369C" w:rsidRPr="00AE60B8">
        <w:t> </w:t>
      </w:r>
      <w:r w:rsidRPr="00AE60B8">
        <w:t>dodávkou</w:t>
      </w:r>
      <w:r w:rsidR="001B6BB0" w:rsidRPr="00AE60B8">
        <w:t xml:space="preserve"> </w:t>
      </w:r>
      <w:r w:rsidR="00C2632A" w:rsidRPr="00AE60B8">
        <w:t>plynu</w:t>
      </w:r>
      <w:r w:rsidR="001B6BB0" w:rsidRPr="00AE60B8">
        <w:t xml:space="preserve"> </w:t>
      </w:r>
      <w:r w:rsidRPr="00AE60B8">
        <w:t>a</w:t>
      </w:r>
      <w:r w:rsidR="008B02E8" w:rsidRPr="00AE60B8">
        <w:t> </w:t>
      </w:r>
      <w:r w:rsidRPr="00AE60B8">
        <w:t>vydává</w:t>
      </w:r>
      <w:r w:rsidR="001B6BB0" w:rsidRPr="00AE60B8">
        <w:t xml:space="preserve"> </w:t>
      </w:r>
      <w:r w:rsidRPr="00AE60B8">
        <w:t>k</w:t>
      </w:r>
      <w:r w:rsidR="001B6BB0" w:rsidRPr="00AE60B8">
        <w:t xml:space="preserve"> </w:t>
      </w:r>
      <w:r w:rsidRPr="00AE60B8">
        <w:t>tomu</w:t>
      </w:r>
      <w:r w:rsidR="001B6BB0" w:rsidRPr="00AE60B8">
        <w:t xml:space="preserve"> </w:t>
      </w:r>
      <w:r w:rsidRPr="00AE60B8">
        <w:t>příslušn</w:t>
      </w:r>
      <w:r w:rsidR="00E61976" w:rsidRPr="00AE60B8">
        <w:t>é</w:t>
      </w:r>
      <w:r w:rsidR="001B6BB0" w:rsidRPr="00AE60B8">
        <w:t xml:space="preserve"> </w:t>
      </w:r>
      <w:r w:rsidRPr="00AE60B8">
        <w:t>cenov</w:t>
      </w:r>
      <w:r w:rsidR="00E61976" w:rsidRPr="00AE60B8">
        <w:t>é</w:t>
      </w:r>
      <w:r w:rsidR="001B6BB0" w:rsidRPr="00AE60B8">
        <w:t xml:space="preserve"> </w:t>
      </w:r>
      <w:r w:rsidR="00C2632A" w:rsidRPr="00AE60B8">
        <w:t>rozhodnutí.</w:t>
      </w:r>
    </w:p>
    <w:p w:rsidR="00955BA8" w:rsidRPr="00AE60B8" w:rsidRDefault="00955BA8" w:rsidP="00301DFC">
      <w:pPr>
        <w:pStyle w:val="odstavec"/>
        <w:spacing w:after="240"/>
        <w:ind w:firstLine="0"/>
      </w:pPr>
      <w:r>
        <w:t xml:space="preserve">Metodika upravující postupy pro stanovení regulovaných cen na období 2016 – 2018 byla stanovena s větším důrazem na bezpečnost a spolehlivost dodávek při zachování </w:t>
      </w:r>
      <w:r w:rsidR="00585FED">
        <w:t>cen přijatelných pro zákazníky. Z motivačně nastaveného prostředí, které bude provozovatele soustav stimulovat</w:t>
      </w:r>
      <w:r w:rsidR="00585FED" w:rsidRPr="00585FED">
        <w:t xml:space="preserve"> </w:t>
      </w:r>
      <w:r w:rsidR="00585FED">
        <w:t xml:space="preserve">ke </w:t>
      </w:r>
      <w:r w:rsidR="00585FED" w:rsidRPr="00585FED">
        <w:t>zvýšení investic do infrastruktury, budou profitovat i zákazníci</w:t>
      </w:r>
      <w:r w:rsidR="00585FED">
        <w:t>. ERÚ od nastavených pravidel očekává zachování a</w:t>
      </w:r>
      <w:r w:rsidR="00235E1F">
        <w:t> </w:t>
      </w:r>
      <w:r w:rsidR="00585FED">
        <w:t>další zvyšování vysoké úrovně poskytovaných služeb a posílení bezpečnosti a spolehlivosti dodávek v oblasti přepravy a distribuce plynu.</w:t>
      </w:r>
      <w:r w:rsidR="000968AD">
        <w:t xml:space="preserve"> To vše při zachování současné úrovně cen.</w:t>
      </w:r>
    </w:p>
    <w:p w:rsidR="008B02E8" w:rsidRPr="00AE60B8" w:rsidRDefault="008B02E8" w:rsidP="00301DFC">
      <w:pPr>
        <w:pStyle w:val="odstavec"/>
        <w:spacing w:after="240"/>
        <w:ind w:firstLine="0"/>
      </w:pPr>
      <w:r w:rsidRPr="00AE60B8">
        <w:t xml:space="preserve">Cenové rozhodnutí pro rok </w:t>
      </w:r>
      <w:r w:rsidR="008C7D53" w:rsidRPr="00AE60B8">
        <w:t xml:space="preserve">2016 </w:t>
      </w:r>
      <w:r w:rsidRPr="00AE60B8">
        <w:t>je zpracováno v souladu s</w:t>
      </w:r>
      <w:r w:rsidR="008C7D53" w:rsidRPr="00AE60B8">
        <w:t>e zveřejněnými Zásadami cenové regulace pro období 2016-2018 pro odvětví elektroenergetiky, plynárenství a pro činnosti operátora trhu v elektroenergetice a plynáre</w:t>
      </w:r>
      <w:r w:rsidR="00242C15" w:rsidRPr="00AE60B8">
        <w:t>n</w:t>
      </w:r>
      <w:r w:rsidR="008C7D53" w:rsidRPr="00AE60B8">
        <w:t>ství</w:t>
      </w:r>
      <w:r w:rsidR="00242C15" w:rsidRPr="00AE60B8">
        <w:t xml:space="preserve"> </w:t>
      </w:r>
      <w:r w:rsidRPr="00AE60B8">
        <w:t xml:space="preserve">a dodržuje parametry výpočtů určených </w:t>
      </w:r>
      <w:r w:rsidR="00242C15" w:rsidRPr="00AE60B8">
        <w:t>těmito Zásadami</w:t>
      </w:r>
      <w:r w:rsidRPr="00AE60B8">
        <w:t>.</w:t>
      </w:r>
    </w:p>
    <w:p w:rsidR="000968AD" w:rsidRPr="005E3F05" w:rsidRDefault="008B02E8" w:rsidP="00301DFC">
      <w:pPr>
        <w:pStyle w:val="Zkladntextodsazen"/>
        <w:numPr>
          <w:ilvl w:val="0"/>
          <w:numId w:val="4"/>
        </w:numPr>
        <w:spacing w:line="276" w:lineRule="auto"/>
        <w:ind w:left="284" w:hanging="284"/>
        <w:jc w:val="both"/>
        <w:rPr>
          <w:spacing w:val="-4"/>
        </w:rPr>
      </w:pPr>
      <w:r w:rsidRPr="00AE60B8">
        <w:lastRenderedPageBreak/>
        <w:t>Cena dodávky plynu pro konečné zákazníky je na liberalizovaném trhu v České republice tvořena:</w:t>
      </w:r>
      <w:r w:rsidR="000968AD" w:rsidRPr="000968AD">
        <w:rPr>
          <w:b/>
          <w:spacing w:val="-4"/>
        </w:rPr>
        <w:t xml:space="preserve"> </w:t>
      </w:r>
    </w:p>
    <w:p w:rsidR="000968AD" w:rsidRPr="00955BA8" w:rsidRDefault="000968AD" w:rsidP="00301DFC">
      <w:pPr>
        <w:pStyle w:val="Zkladntextodsazen"/>
        <w:numPr>
          <w:ilvl w:val="0"/>
          <w:numId w:val="4"/>
        </w:numPr>
        <w:spacing w:line="276" w:lineRule="auto"/>
        <w:ind w:left="567" w:hanging="283"/>
        <w:jc w:val="both"/>
        <w:rPr>
          <w:spacing w:val="-4"/>
        </w:rPr>
      </w:pPr>
      <w:r w:rsidRPr="00955BA8">
        <w:rPr>
          <w:b/>
          <w:spacing w:val="-4"/>
        </w:rPr>
        <w:t>neregulovanou</w:t>
      </w:r>
      <w:r w:rsidRPr="00955BA8">
        <w:rPr>
          <w:spacing w:val="-4"/>
        </w:rPr>
        <w:t xml:space="preserve"> cenou plynu nabízeného jednotlivými dodavateli (obchodníky s plynem a výrobci plynu), tedy cenou </w:t>
      </w:r>
      <w:r w:rsidRPr="00955BA8">
        <w:rPr>
          <w:b/>
          <w:spacing w:val="-4"/>
        </w:rPr>
        <w:t>bez vlivu ERÚ</w:t>
      </w:r>
      <w:r w:rsidRPr="00955BA8">
        <w:rPr>
          <w:spacing w:val="-4"/>
        </w:rPr>
        <w:t>, tato cena je výsledkem dohody mezi dodavatelem a zákazníkem. Vzhledem k</w:t>
      </w:r>
      <w:r>
        <w:rPr>
          <w:spacing w:val="-4"/>
        </w:rPr>
        <w:t> vývoji cen na velkoobchodním trhu</w:t>
      </w:r>
      <w:r w:rsidRPr="00955BA8">
        <w:rPr>
          <w:spacing w:val="-4"/>
        </w:rPr>
        <w:t xml:space="preserve"> </w:t>
      </w:r>
      <w:r>
        <w:rPr>
          <w:spacing w:val="-4"/>
        </w:rPr>
        <w:t>lze</w:t>
      </w:r>
      <w:r w:rsidRPr="00955BA8">
        <w:rPr>
          <w:spacing w:val="-4"/>
        </w:rPr>
        <w:t xml:space="preserve"> pro rok 2016 předpoklád</w:t>
      </w:r>
      <w:r>
        <w:rPr>
          <w:spacing w:val="-4"/>
        </w:rPr>
        <w:t>at</w:t>
      </w:r>
      <w:r w:rsidRPr="00955BA8">
        <w:rPr>
          <w:spacing w:val="-4"/>
        </w:rPr>
        <w:t xml:space="preserve"> pokles </w:t>
      </w:r>
      <w:r>
        <w:rPr>
          <w:spacing w:val="-4"/>
        </w:rPr>
        <w:t xml:space="preserve">výše této složky </w:t>
      </w:r>
      <w:r w:rsidRPr="00955BA8">
        <w:rPr>
          <w:spacing w:val="-4"/>
        </w:rPr>
        <w:t>o cca 3 – 5 %</w:t>
      </w:r>
      <w:r>
        <w:rPr>
          <w:spacing w:val="-4"/>
        </w:rPr>
        <w:t>.</w:t>
      </w:r>
    </w:p>
    <w:p w:rsidR="008B02E8" w:rsidRPr="00AE60B8" w:rsidRDefault="008B02E8" w:rsidP="00301DFC">
      <w:pPr>
        <w:pStyle w:val="Zkladntextodsazen"/>
        <w:numPr>
          <w:ilvl w:val="0"/>
          <w:numId w:val="4"/>
        </w:numPr>
        <w:spacing w:after="0" w:line="276" w:lineRule="auto"/>
        <w:ind w:left="568" w:hanging="284"/>
        <w:jc w:val="both"/>
        <w:rPr>
          <w:spacing w:val="-4"/>
          <w:szCs w:val="20"/>
        </w:rPr>
      </w:pPr>
      <w:r w:rsidRPr="00AE60B8">
        <w:rPr>
          <w:b/>
          <w:spacing w:val="-4"/>
          <w:szCs w:val="20"/>
        </w:rPr>
        <w:t>regulovanými</w:t>
      </w:r>
      <w:r w:rsidRPr="00AE60B8">
        <w:rPr>
          <w:spacing w:val="-4"/>
          <w:szCs w:val="20"/>
        </w:rPr>
        <w:t xml:space="preserve"> cenami, které stanovuje Energetický regulační úřad</w:t>
      </w:r>
      <w:r w:rsidR="0064369C" w:rsidRPr="00AE60B8">
        <w:rPr>
          <w:spacing w:val="-4"/>
          <w:szCs w:val="20"/>
        </w:rPr>
        <w:t>,</w:t>
      </w:r>
      <w:r w:rsidRPr="00AE60B8">
        <w:rPr>
          <w:spacing w:val="-4"/>
          <w:szCs w:val="20"/>
        </w:rPr>
        <w:t xml:space="preserve"> </w:t>
      </w:r>
      <w:r w:rsidR="0064369C" w:rsidRPr="00AE60B8">
        <w:rPr>
          <w:spacing w:val="-4"/>
          <w:szCs w:val="20"/>
        </w:rPr>
        <w:t>j</w:t>
      </w:r>
      <w:r w:rsidRPr="00AE60B8">
        <w:rPr>
          <w:spacing w:val="-4"/>
          <w:szCs w:val="20"/>
        </w:rPr>
        <w:t xml:space="preserve">edná se o ceny </w:t>
      </w:r>
      <w:r w:rsidR="00242C15" w:rsidRPr="00AE60B8">
        <w:rPr>
          <w:spacing w:val="-4"/>
          <w:szCs w:val="20"/>
        </w:rPr>
        <w:t>služb</w:t>
      </w:r>
      <w:r w:rsidR="00B868E4" w:rsidRPr="00AE60B8">
        <w:rPr>
          <w:spacing w:val="-4"/>
          <w:szCs w:val="20"/>
        </w:rPr>
        <w:t>y</w:t>
      </w:r>
      <w:r w:rsidR="00242C15" w:rsidRPr="00AE60B8">
        <w:rPr>
          <w:spacing w:val="-4"/>
          <w:szCs w:val="20"/>
        </w:rPr>
        <w:t xml:space="preserve"> </w:t>
      </w:r>
      <w:r w:rsidR="00B868E4" w:rsidRPr="00AE60B8">
        <w:rPr>
          <w:spacing w:val="-4"/>
          <w:szCs w:val="20"/>
        </w:rPr>
        <w:t xml:space="preserve">přepravy </w:t>
      </w:r>
      <w:r w:rsidRPr="00AE60B8">
        <w:rPr>
          <w:spacing w:val="-4"/>
          <w:szCs w:val="20"/>
        </w:rPr>
        <w:t xml:space="preserve">plynu, </w:t>
      </w:r>
      <w:r w:rsidR="00242C15" w:rsidRPr="00AE60B8">
        <w:rPr>
          <w:spacing w:val="-4"/>
          <w:szCs w:val="20"/>
        </w:rPr>
        <w:t>služby distribuční soustavy</w:t>
      </w:r>
      <w:r w:rsidRPr="00AE60B8">
        <w:rPr>
          <w:spacing w:val="-4"/>
          <w:szCs w:val="20"/>
        </w:rPr>
        <w:t xml:space="preserve">, </w:t>
      </w:r>
      <w:r w:rsidR="00242C15" w:rsidRPr="00AE60B8">
        <w:rPr>
          <w:spacing w:val="-4"/>
          <w:szCs w:val="20"/>
        </w:rPr>
        <w:t>činnosti</w:t>
      </w:r>
      <w:r w:rsidRPr="00AE60B8">
        <w:rPr>
          <w:spacing w:val="-4"/>
          <w:szCs w:val="20"/>
        </w:rPr>
        <w:t xml:space="preserve"> operátora trhu a</w:t>
      </w:r>
      <w:r w:rsidR="00B868E4" w:rsidRPr="00AE60B8">
        <w:rPr>
          <w:spacing w:val="-4"/>
          <w:szCs w:val="20"/>
        </w:rPr>
        <w:t> </w:t>
      </w:r>
      <w:r w:rsidR="00814A0E" w:rsidRPr="00AE60B8">
        <w:rPr>
          <w:spacing w:val="-4"/>
          <w:szCs w:val="20"/>
        </w:rPr>
        <w:t xml:space="preserve">případně </w:t>
      </w:r>
      <w:r w:rsidRPr="00AE60B8">
        <w:rPr>
          <w:spacing w:val="-4"/>
          <w:szCs w:val="20"/>
        </w:rPr>
        <w:t>věcně usměrňované ceny dodavatele poslední instance</w:t>
      </w:r>
      <w:r w:rsidR="0064369C" w:rsidRPr="00AE60B8">
        <w:rPr>
          <w:spacing w:val="-4"/>
          <w:szCs w:val="20"/>
        </w:rPr>
        <w:t>,</w:t>
      </w:r>
    </w:p>
    <w:p w:rsidR="00301DFC" w:rsidRDefault="00301DFC" w:rsidP="008B02E8">
      <w:pPr>
        <w:pStyle w:val="odstavec"/>
      </w:pPr>
    </w:p>
    <w:p w:rsidR="008B02E8" w:rsidRPr="00AE60B8" w:rsidRDefault="008B02E8" w:rsidP="00301DFC">
      <w:pPr>
        <w:pStyle w:val="odstavec"/>
        <w:spacing w:after="240"/>
        <w:ind w:firstLine="0"/>
      </w:pPr>
      <w:r w:rsidRPr="00AE60B8">
        <w:t xml:space="preserve">Regulované složky ceny plynu tvoří pro domácnosti a maloodběratele v roce </w:t>
      </w:r>
      <w:r w:rsidR="00242C15" w:rsidRPr="00AE60B8">
        <w:t xml:space="preserve">2016 </w:t>
      </w:r>
      <w:r w:rsidR="007C6D91" w:rsidRPr="00AE60B8">
        <w:t xml:space="preserve">v průměru </w:t>
      </w:r>
      <w:r w:rsidRPr="00AE60B8">
        <w:t xml:space="preserve">přibližně </w:t>
      </w:r>
      <w:r w:rsidR="00242C15" w:rsidRPr="00AE60B8">
        <w:rPr>
          <w:b/>
        </w:rPr>
        <w:t>24,86</w:t>
      </w:r>
      <w:r w:rsidRPr="00AE60B8">
        <w:rPr>
          <w:b/>
        </w:rPr>
        <w:t xml:space="preserve"> %</w:t>
      </w:r>
      <w:r w:rsidRPr="00AE60B8">
        <w:t xml:space="preserve"> z celkové ceny </w:t>
      </w:r>
      <w:r w:rsidR="007C6D91" w:rsidRPr="00AE60B8">
        <w:t xml:space="preserve">služeb </w:t>
      </w:r>
      <w:r w:rsidRPr="00AE60B8">
        <w:t>dodávky plynu.</w:t>
      </w:r>
    </w:p>
    <w:p w:rsidR="00755B1B" w:rsidRPr="00AE60B8" w:rsidRDefault="00011AFF" w:rsidP="00301DFC">
      <w:pPr>
        <w:pStyle w:val="odstavec"/>
        <w:spacing w:after="240"/>
        <w:ind w:firstLine="0"/>
      </w:pPr>
      <w:r w:rsidRPr="00AE60B8">
        <w:rPr>
          <w:b/>
        </w:rPr>
        <w:t xml:space="preserve">Průměrná výše ceny </w:t>
      </w:r>
      <w:r w:rsidR="00AA6313" w:rsidRPr="00AE60B8">
        <w:rPr>
          <w:b/>
        </w:rPr>
        <w:t xml:space="preserve">služby přepravy plynu </w:t>
      </w:r>
      <w:r w:rsidR="007A2DDA" w:rsidRPr="00AE60B8">
        <w:t xml:space="preserve">do domácího bodu </w:t>
      </w:r>
      <w:r w:rsidRPr="00AE60B8">
        <w:t xml:space="preserve">v roce </w:t>
      </w:r>
      <w:r w:rsidR="00242C15" w:rsidRPr="00AE60B8">
        <w:t xml:space="preserve">2016 </w:t>
      </w:r>
      <w:r w:rsidRPr="00AE60B8">
        <w:rPr>
          <w:b/>
        </w:rPr>
        <w:t xml:space="preserve">bude </w:t>
      </w:r>
      <w:r w:rsidR="00242C15" w:rsidRPr="00AE60B8">
        <w:rPr>
          <w:b/>
        </w:rPr>
        <w:t>18,74</w:t>
      </w:r>
      <w:r w:rsidR="007A2DDA" w:rsidRPr="00AE60B8">
        <w:rPr>
          <w:b/>
        </w:rPr>
        <w:t> </w:t>
      </w:r>
      <w:r w:rsidRPr="00AE60B8">
        <w:rPr>
          <w:b/>
        </w:rPr>
        <w:t>Kč/</w:t>
      </w:r>
      <w:proofErr w:type="spellStart"/>
      <w:r w:rsidRPr="00AE60B8">
        <w:rPr>
          <w:b/>
        </w:rPr>
        <w:t>MWh</w:t>
      </w:r>
      <w:proofErr w:type="spellEnd"/>
      <w:r w:rsidRPr="00AE60B8">
        <w:t xml:space="preserve">. Tato položka tvoří </w:t>
      </w:r>
      <w:r w:rsidR="00B868E4" w:rsidRPr="00AE60B8">
        <w:t xml:space="preserve">přibližně </w:t>
      </w:r>
      <w:r w:rsidRPr="00AE60B8">
        <w:t>1 – 2 %</w:t>
      </w:r>
      <w:r w:rsidR="0087385E" w:rsidRPr="00AE60B8">
        <w:t xml:space="preserve"> </w:t>
      </w:r>
      <w:r w:rsidR="00B868E4" w:rsidRPr="00AE60B8">
        <w:t xml:space="preserve">z </w:t>
      </w:r>
      <w:r w:rsidR="0087385E" w:rsidRPr="00AE60B8">
        <w:t>celkové</w:t>
      </w:r>
      <w:r w:rsidRPr="00AE60B8">
        <w:t xml:space="preserve"> cen</w:t>
      </w:r>
      <w:r w:rsidR="0087385E" w:rsidRPr="00AE60B8">
        <w:t>y</w:t>
      </w:r>
      <w:r w:rsidRPr="00AE60B8">
        <w:t xml:space="preserve"> za služby dodávky plynu.</w:t>
      </w:r>
    </w:p>
    <w:p w:rsidR="00242C15" w:rsidRPr="00AE60B8" w:rsidRDefault="008B02E8" w:rsidP="00301DFC">
      <w:pPr>
        <w:pStyle w:val="odstavec"/>
        <w:spacing w:after="240"/>
        <w:ind w:firstLine="0"/>
      </w:pPr>
      <w:r w:rsidRPr="00AE60B8">
        <w:rPr>
          <w:b/>
        </w:rPr>
        <w:t xml:space="preserve">Cena </w:t>
      </w:r>
      <w:r w:rsidR="00242C15" w:rsidRPr="00AE60B8">
        <w:rPr>
          <w:b/>
        </w:rPr>
        <w:t>služb</w:t>
      </w:r>
      <w:r w:rsidR="00B868E4" w:rsidRPr="00AE60B8">
        <w:rPr>
          <w:b/>
        </w:rPr>
        <w:t>y</w:t>
      </w:r>
      <w:r w:rsidR="00242C15" w:rsidRPr="00AE60B8">
        <w:rPr>
          <w:b/>
        </w:rPr>
        <w:t xml:space="preserve"> distribuční soustavy</w:t>
      </w:r>
      <w:r w:rsidR="00242C15" w:rsidRPr="00AE60B8">
        <w:t xml:space="preserve"> </w:t>
      </w:r>
      <w:r w:rsidRPr="00AE60B8">
        <w:rPr>
          <w:b/>
        </w:rPr>
        <w:t xml:space="preserve">zahrnující </w:t>
      </w:r>
      <w:r w:rsidR="00242C15" w:rsidRPr="00AE60B8">
        <w:rPr>
          <w:b/>
        </w:rPr>
        <w:t>službu přepravy</w:t>
      </w:r>
      <w:r w:rsidR="00242C15" w:rsidRPr="00AE60B8">
        <w:t xml:space="preserve"> </w:t>
      </w:r>
      <w:r w:rsidRPr="00AE60B8">
        <w:t>plynu českým zákazníkům v</w:t>
      </w:r>
      <w:r w:rsidR="00242C15" w:rsidRPr="00AE60B8">
        <w:t> </w:t>
      </w:r>
      <w:r w:rsidRPr="00AE60B8">
        <w:t>průměru nar</w:t>
      </w:r>
      <w:r w:rsidRPr="000968AD">
        <w:t xml:space="preserve">ůstá. </w:t>
      </w:r>
      <w:r w:rsidR="0087385E" w:rsidRPr="000968AD">
        <w:t>N</w:t>
      </w:r>
      <w:r w:rsidRPr="000968AD">
        <w:t>árů</w:t>
      </w:r>
      <w:r w:rsidRPr="00AE60B8">
        <w:t xml:space="preserve">st této složky ceny za všechny kategorie zákazníků v ČR činí </w:t>
      </w:r>
      <w:r w:rsidR="0087385E" w:rsidRPr="00AE60B8">
        <w:t xml:space="preserve">průměrně </w:t>
      </w:r>
      <w:r w:rsidR="00242C15" w:rsidRPr="00AE60B8">
        <w:rPr>
          <w:b/>
        </w:rPr>
        <w:t>2,65 </w:t>
      </w:r>
      <w:r w:rsidRPr="00AE60B8">
        <w:rPr>
          <w:b/>
        </w:rPr>
        <w:t>%</w:t>
      </w:r>
      <w:r w:rsidRPr="00AE60B8">
        <w:t>.</w:t>
      </w:r>
    </w:p>
    <w:p w:rsidR="00B868E4" w:rsidRPr="00AE60B8" w:rsidRDefault="008B02E8" w:rsidP="00301DFC">
      <w:pPr>
        <w:pStyle w:val="odstavec"/>
        <w:spacing w:after="240"/>
        <w:ind w:firstLine="0"/>
      </w:pPr>
      <w:r w:rsidRPr="00AE60B8">
        <w:t xml:space="preserve">Z regulovaných složek ceny tvoří nejvyšší podíl cena </w:t>
      </w:r>
      <w:r w:rsidR="00B868E4" w:rsidRPr="00AE60B8">
        <w:t>služby</w:t>
      </w:r>
      <w:r w:rsidR="00872F12" w:rsidRPr="00AE60B8">
        <w:t xml:space="preserve"> distribuční soustavy</w:t>
      </w:r>
      <w:r w:rsidRPr="00AE60B8">
        <w:t xml:space="preserve"> včetně</w:t>
      </w:r>
      <w:r w:rsidR="00872F12" w:rsidRPr="00AE60B8">
        <w:t xml:space="preserve"> služby</w:t>
      </w:r>
      <w:r w:rsidRPr="00AE60B8">
        <w:t xml:space="preserve"> přepravy plynu českým zákazníkům, přičemž pro rok 201</w:t>
      </w:r>
      <w:r w:rsidR="00872F12" w:rsidRPr="00AE60B8">
        <w:t>6</w:t>
      </w:r>
      <w:r w:rsidRPr="00AE60B8">
        <w:t xml:space="preserve"> na její zvýšení měly vliv zejména </w:t>
      </w:r>
      <w:r w:rsidR="00B868E4" w:rsidRPr="00AE60B8">
        <w:t xml:space="preserve">kladné hodnoty korekčních </w:t>
      </w:r>
      <w:r w:rsidR="00551D63" w:rsidRPr="00AE60B8">
        <w:t>faktor</w:t>
      </w:r>
      <w:r w:rsidR="00551D63">
        <w:t>ů</w:t>
      </w:r>
      <w:r w:rsidR="00551D63" w:rsidRPr="00AE60B8">
        <w:t xml:space="preserve"> </w:t>
      </w:r>
      <w:r w:rsidR="00B868E4" w:rsidRPr="00AE60B8">
        <w:t>za činnost přepravy plynu a pro činnost distribuce plynu,</w:t>
      </w:r>
      <w:r w:rsidR="00B868E4" w:rsidRPr="00AE60B8">
        <w:rPr>
          <w:iCs/>
        </w:rPr>
        <w:t xml:space="preserve"> vycházející z rozdílu plánovaných povolených výnosů na rok 2014 a skutečných tržeb za rok 2014, které se vyrovnávají s dvouletým zpožděním</w:t>
      </w:r>
      <w:r w:rsidR="00551D63">
        <w:rPr>
          <w:iCs/>
        </w:rPr>
        <w:t>.</w:t>
      </w:r>
    </w:p>
    <w:p w:rsidR="00B868E4" w:rsidRPr="00AE60B8" w:rsidRDefault="00B868E4" w:rsidP="00301DFC">
      <w:pPr>
        <w:spacing w:after="240" w:line="276" w:lineRule="auto"/>
        <w:jc w:val="both"/>
        <w:rPr>
          <w:spacing w:val="-4"/>
        </w:rPr>
      </w:pPr>
      <w:r w:rsidRPr="00AE60B8">
        <w:rPr>
          <w:spacing w:val="-4"/>
        </w:rPr>
        <w:t>Pozitivní vliv na cenu dodávky plynu zahrnující cenu službu distribuční soustavy včetně služby přepravy plynu českým zákazníkům pro rok 2016 měly zejména následující faktory:</w:t>
      </w:r>
    </w:p>
    <w:p w:rsidR="00B868E4" w:rsidRPr="00AE60B8" w:rsidRDefault="00B868E4" w:rsidP="00301DFC">
      <w:pPr>
        <w:numPr>
          <w:ilvl w:val="0"/>
          <w:numId w:val="6"/>
        </w:numPr>
        <w:spacing w:after="120" w:line="276" w:lineRule="auto"/>
        <w:ind w:left="284" w:hanging="284"/>
        <w:jc w:val="both"/>
        <w:rPr>
          <w:spacing w:val="-4"/>
        </w:rPr>
      </w:pPr>
      <w:r w:rsidRPr="00AE60B8">
        <w:rPr>
          <w:iCs/>
          <w:spacing w:val="-4"/>
        </w:rPr>
        <w:t>pokles nákladů n</w:t>
      </w:r>
      <w:r w:rsidR="00862D9E" w:rsidRPr="00AE60B8">
        <w:rPr>
          <w:iCs/>
          <w:spacing w:val="-4"/>
        </w:rPr>
        <w:t>a poskytování služby flexibility</w:t>
      </w:r>
      <w:r w:rsidRPr="00AE60B8">
        <w:rPr>
          <w:iCs/>
          <w:spacing w:val="-4"/>
        </w:rPr>
        <w:t>, která zajišťuje fyzické vyrovnávání odchylek v přepravní soustavě,</w:t>
      </w:r>
    </w:p>
    <w:p w:rsidR="00B868E4" w:rsidRPr="00AE60B8" w:rsidRDefault="00B868E4" w:rsidP="00301DFC">
      <w:pPr>
        <w:numPr>
          <w:ilvl w:val="0"/>
          <w:numId w:val="6"/>
        </w:numPr>
        <w:spacing w:line="276" w:lineRule="auto"/>
        <w:ind w:left="284" w:hanging="284"/>
        <w:jc w:val="both"/>
        <w:rPr>
          <w:spacing w:val="-4"/>
        </w:rPr>
      </w:pPr>
      <w:r w:rsidRPr="00AE60B8">
        <w:rPr>
          <w:iCs/>
          <w:spacing w:val="-4"/>
        </w:rPr>
        <w:t>pokles nákladů souvisejících s</w:t>
      </w:r>
      <w:r w:rsidRPr="00AE60B8">
        <w:rPr>
          <w:spacing w:val="-4"/>
        </w:rPr>
        <w:t> pořízením plynu na</w:t>
      </w:r>
      <w:r w:rsidR="00862D9E" w:rsidRPr="00AE60B8">
        <w:rPr>
          <w:spacing w:val="-4"/>
        </w:rPr>
        <w:t xml:space="preserve"> krytí povoleného množství ztrát</w:t>
      </w:r>
      <w:r w:rsidRPr="00AE60B8">
        <w:rPr>
          <w:spacing w:val="-4"/>
        </w:rPr>
        <w:t xml:space="preserve"> a vlastní technologickou spotřebu</w:t>
      </w:r>
      <w:r w:rsidR="009860DE" w:rsidRPr="00AE60B8">
        <w:rPr>
          <w:spacing w:val="-4"/>
        </w:rPr>
        <w:t xml:space="preserve"> v distribučních soustavách</w:t>
      </w:r>
      <w:r w:rsidRPr="00AE60B8">
        <w:rPr>
          <w:spacing w:val="-4"/>
        </w:rPr>
        <w:t>.</w:t>
      </w:r>
    </w:p>
    <w:p w:rsidR="00301DFC" w:rsidRDefault="00301DFC" w:rsidP="00301DFC">
      <w:pPr>
        <w:pStyle w:val="odstavec"/>
        <w:spacing w:after="240"/>
        <w:ind w:firstLine="0"/>
      </w:pPr>
    </w:p>
    <w:p w:rsidR="008B02E8" w:rsidRPr="00AE60B8" w:rsidRDefault="008B02E8" w:rsidP="00301DFC">
      <w:pPr>
        <w:pStyle w:val="odstavec"/>
        <w:spacing w:after="240"/>
        <w:ind w:firstLine="0"/>
      </w:pPr>
      <w:r w:rsidRPr="00AE60B8">
        <w:t xml:space="preserve">Cena za </w:t>
      </w:r>
      <w:r w:rsidR="00862D9E" w:rsidRPr="00AE60B8">
        <w:t xml:space="preserve">činnost </w:t>
      </w:r>
      <w:r w:rsidRPr="00AE60B8">
        <w:t xml:space="preserve">zúčtování operátorem trhu se pro rok </w:t>
      </w:r>
      <w:r w:rsidR="00862D9E" w:rsidRPr="00AE60B8">
        <w:t xml:space="preserve">2016 </w:t>
      </w:r>
      <w:r w:rsidRPr="00AE60B8">
        <w:t xml:space="preserve">zvýšila z částky </w:t>
      </w:r>
      <w:r w:rsidR="00862D9E" w:rsidRPr="00AE60B8">
        <w:t>1,16</w:t>
      </w:r>
      <w:r w:rsidRPr="00AE60B8">
        <w:t xml:space="preserve"> Kč/</w:t>
      </w:r>
      <w:proofErr w:type="spellStart"/>
      <w:r w:rsidRPr="00AE60B8">
        <w:t>MWh</w:t>
      </w:r>
      <w:proofErr w:type="spellEnd"/>
      <w:r w:rsidRPr="00AE60B8">
        <w:t xml:space="preserve"> na</w:t>
      </w:r>
      <w:r w:rsidR="00862D9E" w:rsidRPr="00AE60B8">
        <w:t> 1,28</w:t>
      </w:r>
      <w:r w:rsidRPr="00AE60B8">
        <w:t> Kč/</w:t>
      </w:r>
      <w:proofErr w:type="spellStart"/>
      <w:r w:rsidRPr="00AE60B8">
        <w:t>MWh</w:t>
      </w:r>
      <w:proofErr w:type="spellEnd"/>
      <w:r w:rsidRPr="00AE60B8">
        <w:t xml:space="preserve">. </w:t>
      </w:r>
      <w:r w:rsidR="00862D9E" w:rsidRPr="00AE60B8">
        <w:t>Součástí uvedených cen za činnost zúčtování operátorem trhu není poplatek na činnost Energetického regulačního úřadu dle § 17d zákona č. 458/2000 Sb., (energetický zákon), který stanoví svým nařízení</w:t>
      </w:r>
      <w:r w:rsidR="00AA6313" w:rsidRPr="00AE60B8">
        <w:t>m</w:t>
      </w:r>
      <w:r w:rsidR="00862D9E" w:rsidRPr="00AE60B8">
        <w:t xml:space="preserve"> vláda a který není v současné době k dispozici. </w:t>
      </w:r>
      <w:r w:rsidR="0076028F" w:rsidRPr="00AE60B8">
        <w:t xml:space="preserve">Důvodem zvýšení této ceny je především </w:t>
      </w:r>
      <w:r w:rsidR="0076028F">
        <w:t>rozšíření činností operátora trhu o nové agendy, které je povinen vykonávat</w:t>
      </w:r>
      <w:r w:rsidR="0076028F" w:rsidRPr="00AE60B8">
        <w:t>.</w:t>
      </w:r>
    </w:p>
    <w:p w:rsidR="008B02E8" w:rsidRPr="00AE60B8" w:rsidRDefault="005F3BD7" w:rsidP="00301DFC">
      <w:pPr>
        <w:pStyle w:val="odstavec"/>
        <w:spacing w:after="240"/>
        <w:ind w:firstLine="0"/>
      </w:pPr>
      <w:r w:rsidRPr="005F3BD7">
        <w:t xml:space="preserve">Výše </w:t>
      </w:r>
      <w:r w:rsidR="006C4645" w:rsidRPr="00AE60B8">
        <w:t xml:space="preserve">průměrných cen </w:t>
      </w:r>
      <w:r w:rsidR="006C4645" w:rsidRPr="005F3BD7">
        <w:t xml:space="preserve">bez daňových položek </w:t>
      </w:r>
      <w:r w:rsidR="006C4645" w:rsidRPr="00AE60B8">
        <w:t xml:space="preserve">u jednotlivých distribučních společností a v rámci ČR </w:t>
      </w:r>
      <w:r w:rsidRPr="005F3BD7">
        <w:t>na rok 2016</w:t>
      </w:r>
      <w:r>
        <w:t xml:space="preserve"> </w:t>
      </w:r>
      <w:r w:rsidRPr="00AE60B8">
        <w:t>jsou uvedeny v tabulce č. 1</w:t>
      </w:r>
      <w:r w:rsidR="006C4645">
        <w:t xml:space="preserve"> (</w:t>
      </w:r>
      <w:r w:rsidR="006C4645" w:rsidRPr="005F3BD7">
        <w:t>regulovan</w:t>
      </w:r>
      <w:r w:rsidR="006C4645">
        <w:t>é</w:t>
      </w:r>
      <w:r w:rsidR="006C4645" w:rsidRPr="005F3BD7">
        <w:t xml:space="preserve"> platb</w:t>
      </w:r>
      <w:r w:rsidR="006C4645">
        <w:t>y</w:t>
      </w:r>
      <w:r w:rsidR="006C4645" w:rsidRPr="005F3BD7">
        <w:t xml:space="preserve"> služeb dodávky plynu</w:t>
      </w:r>
      <w:r w:rsidR="006C4645">
        <w:t xml:space="preserve"> zahrnují cenu</w:t>
      </w:r>
      <w:r w:rsidR="006C4645" w:rsidRPr="00AE60B8">
        <w:t xml:space="preserve"> služby distribuční soustavy, služby přepravy plynu a</w:t>
      </w:r>
      <w:r w:rsidR="006C4645">
        <w:t xml:space="preserve"> cenu za</w:t>
      </w:r>
      <w:r w:rsidR="006C4645" w:rsidRPr="00AE60B8">
        <w:t xml:space="preserve"> činnosti operátora trhu)</w:t>
      </w:r>
      <w:r w:rsidR="008B02E8" w:rsidRPr="00AE60B8">
        <w:t>. Hodnota za ČR není uvedena jako aritmetický průměr, ale jako vážený průměr jednotlivých distribučních společností podle množství distribuovaného plynu.</w:t>
      </w:r>
    </w:p>
    <w:p w:rsidR="00AC52EA" w:rsidRPr="00235E1F" w:rsidRDefault="008B02E8" w:rsidP="00927F8F">
      <w:pPr>
        <w:pStyle w:val="Titulek"/>
        <w:keepNext/>
        <w:spacing w:after="120"/>
        <w:ind w:left="1418" w:hanging="1418"/>
        <w:jc w:val="both"/>
        <w:rPr>
          <w:b w:val="0"/>
          <w:sz w:val="24"/>
          <w:szCs w:val="24"/>
        </w:rPr>
      </w:pPr>
      <w:r w:rsidRPr="00AE60B8">
        <w:rPr>
          <w:sz w:val="24"/>
          <w:szCs w:val="24"/>
        </w:rPr>
        <w:lastRenderedPageBreak/>
        <w:t>Tabulka č. 1</w:t>
      </w:r>
      <w:r w:rsidRPr="00AE60B8">
        <w:rPr>
          <w:sz w:val="24"/>
          <w:szCs w:val="24"/>
        </w:rPr>
        <w:tab/>
      </w:r>
      <w:r w:rsidR="005F3BD7" w:rsidRPr="00235E1F">
        <w:rPr>
          <w:b w:val="0"/>
          <w:sz w:val="24"/>
          <w:szCs w:val="24"/>
        </w:rPr>
        <w:t>Výše regulovaných plateb služeb dodávky plynu dle distribučních území pro zákazníky v ČR na rok 2016 (bez daňových položek)</w:t>
      </w:r>
    </w:p>
    <w:p w:rsidR="005F3BD7" w:rsidRDefault="005F3BD7" w:rsidP="005F3BD7">
      <w:r>
        <w:rPr>
          <w:noProof/>
        </w:rPr>
        <w:drawing>
          <wp:inline distT="0" distB="0" distL="0" distR="0" wp14:anchorId="22838886" wp14:editId="27B25C45">
            <wp:extent cx="5888658" cy="797357"/>
            <wp:effectExtent l="0" t="0" r="0" b="317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402" cy="798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3BD7" w:rsidRDefault="005F3BD7" w:rsidP="005F3BD7"/>
    <w:p w:rsidR="005F3BD7" w:rsidRPr="005F3BD7" w:rsidRDefault="005F3BD7" w:rsidP="005F3BD7">
      <w:r>
        <w:rPr>
          <w:noProof/>
        </w:rPr>
        <w:drawing>
          <wp:inline distT="0" distB="0" distL="0" distR="0" wp14:anchorId="799009C5" wp14:editId="09542AF7">
            <wp:extent cx="5874346" cy="716889"/>
            <wp:effectExtent l="0" t="0" r="0" b="762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679" cy="717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3BD7" w:rsidRDefault="005F3BD7" w:rsidP="008B02E8">
      <w:pPr>
        <w:pStyle w:val="Titulek"/>
        <w:keepNext/>
        <w:spacing w:after="120"/>
        <w:ind w:left="1134" w:hanging="1134"/>
        <w:jc w:val="both"/>
        <w:rPr>
          <w:sz w:val="24"/>
          <w:szCs w:val="24"/>
        </w:rPr>
      </w:pPr>
    </w:p>
    <w:p w:rsidR="005F3BD7" w:rsidRDefault="005F3BD7" w:rsidP="008B02E8">
      <w:pPr>
        <w:pStyle w:val="Titulek"/>
        <w:keepNext/>
        <w:spacing w:after="120"/>
        <w:ind w:left="1134" w:hanging="1134"/>
        <w:jc w:val="both"/>
        <w:rPr>
          <w:sz w:val="24"/>
          <w:szCs w:val="24"/>
        </w:rPr>
      </w:pPr>
    </w:p>
    <w:p w:rsidR="008B02E8" w:rsidRPr="00235E1F" w:rsidRDefault="008B02E8" w:rsidP="00235E1F">
      <w:pPr>
        <w:pStyle w:val="Titulek"/>
        <w:keepNext/>
        <w:spacing w:after="120"/>
        <w:ind w:left="1418" w:hanging="1418"/>
        <w:jc w:val="both"/>
        <w:rPr>
          <w:b w:val="0"/>
          <w:sz w:val="24"/>
          <w:szCs w:val="24"/>
        </w:rPr>
      </w:pPr>
      <w:r w:rsidRPr="00AE60B8">
        <w:rPr>
          <w:sz w:val="24"/>
          <w:szCs w:val="24"/>
        </w:rPr>
        <w:t>Obrázek č. 1</w:t>
      </w:r>
      <w:r w:rsidRPr="00AE60B8">
        <w:rPr>
          <w:sz w:val="24"/>
          <w:szCs w:val="24"/>
        </w:rPr>
        <w:tab/>
      </w:r>
      <w:r w:rsidRPr="00235E1F">
        <w:rPr>
          <w:b w:val="0"/>
          <w:sz w:val="24"/>
          <w:szCs w:val="24"/>
        </w:rPr>
        <w:t>Vývoj průměrných regulovaných cen plynu (distribuce, přeprava, OTE) pro</w:t>
      </w:r>
      <w:r w:rsidR="00BE09CA" w:rsidRPr="00235E1F">
        <w:rPr>
          <w:b w:val="0"/>
          <w:sz w:val="24"/>
          <w:szCs w:val="24"/>
        </w:rPr>
        <w:t> </w:t>
      </w:r>
      <w:r w:rsidRPr="00235E1F">
        <w:rPr>
          <w:b w:val="0"/>
          <w:sz w:val="24"/>
          <w:szCs w:val="24"/>
        </w:rPr>
        <w:t xml:space="preserve"> </w:t>
      </w:r>
      <w:r w:rsidR="00BE09CA" w:rsidRPr="00235E1F">
        <w:rPr>
          <w:b w:val="0"/>
          <w:sz w:val="24"/>
          <w:szCs w:val="24"/>
        </w:rPr>
        <w:t>zákazník</w:t>
      </w:r>
      <w:r w:rsidR="00551D63" w:rsidRPr="00235E1F">
        <w:rPr>
          <w:b w:val="0"/>
          <w:sz w:val="24"/>
          <w:szCs w:val="24"/>
        </w:rPr>
        <w:t>y</w:t>
      </w:r>
      <w:r w:rsidR="00BE09CA" w:rsidRPr="00235E1F">
        <w:rPr>
          <w:b w:val="0"/>
          <w:sz w:val="24"/>
          <w:szCs w:val="24"/>
        </w:rPr>
        <w:t xml:space="preserve"> </w:t>
      </w:r>
      <w:r w:rsidRPr="00235E1F">
        <w:rPr>
          <w:b w:val="0"/>
          <w:sz w:val="24"/>
          <w:szCs w:val="24"/>
        </w:rPr>
        <w:t xml:space="preserve">podle jednotlivých distribučních společností </w:t>
      </w:r>
      <w:r w:rsidR="00551D63" w:rsidRPr="00235E1F">
        <w:rPr>
          <w:b w:val="0"/>
          <w:sz w:val="24"/>
          <w:szCs w:val="24"/>
        </w:rPr>
        <w:t>v</w:t>
      </w:r>
      <w:r w:rsidRPr="00235E1F">
        <w:rPr>
          <w:b w:val="0"/>
          <w:sz w:val="24"/>
          <w:szCs w:val="24"/>
        </w:rPr>
        <w:t xml:space="preserve"> ČR</w:t>
      </w:r>
    </w:p>
    <w:p w:rsidR="008B02E8" w:rsidRPr="006948EF" w:rsidRDefault="00551D63" w:rsidP="006948EF">
      <w:pPr>
        <w:spacing w:line="276" w:lineRule="auto"/>
        <w:ind w:left="1134" w:hanging="1134"/>
        <w:jc w:val="center"/>
        <w:rPr>
          <w:spacing w:val="-4"/>
          <w:sz w:val="20"/>
        </w:rPr>
      </w:pPr>
      <w:r>
        <w:rPr>
          <w:noProof/>
        </w:rPr>
        <w:drawing>
          <wp:inline distT="0" distB="0" distL="0" distR="0" wp14:anchorId="2525220A" wp14:editId="01C128B2">
            <wp:extent cx="5537200" cy="3032464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12548" t="20227" r="12699" b="6994"/>
                    <a:stretch/>
                  </pic:blipFill>
                  <pic:spPr bwMode="auto">
                    <a:xfrm>
                      <a:off x="0" y="0"/>
                      <a:ext cx="5538248" cy="30330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02E8" w:rsidRPr="006948EF" w:rsidRDefault="008B02E8" w:rsidP="008B02E8">
      <w:pPr>
        <w:spacing w:line="276" w:lineRule="auto"/>
        <w:ind w:left="1134" w:hanging="1134"/>
        <w:jc w:val="center"/>
        <w:rPr>
          <w:spacing w:val="-4"/>
          <w:sz w:val="20"/>
        </w:rPr>
      </w:pPr>
    </w:p>
    <w:p w:rsidR="00E03476" w:rsidRPr="00AE60B8" w:rsidRDefault="008B02E8" w:rsidP="00235E1F">
      <w:pPr>
        <w:pStyle w:val="Titulek"/>
        <w:keepNext/>
        <w:spacing w:after="120"/>
        <w:ind w:left="1418" w:hanging="1418"/>
      </w:pPr>
      <w:r w:rsidRPr="00AE60B8">
        <w:rPr>
          <w:sz w:val="24"/>
          <w:szCs w:val="24"/>
        </w:rPr>
        <w:lastRenderedPageBreak/>
        <w:t>Obrázek č. 2</w:t>
      </w:r>
      <w:r w:rsidRPr="00AE60B8">
        <w:rPr>
          <w:sz w:val="24"/>
          <w:szCs w:val="24"/>
        </w:rPr>
        <w:tab/>
      </w:r>
      <w:r w:rsidRPr="00235E1F">
        <w:rPr>
          <w:b w:val="0"/>
          <w:sz w:val="24"/>
          <w:szCs w:val="24"/>
        </w:rPr>
        <w:t xml:space="preserve">Podíly jednotlivých složek v celkové ceně dodávky plynu pro </w:t>
      </w:r>
      <w:r w:rsidR="00E03476" w:rsidRPr="00235E1F">
        <w:rPr>
          <w:b w:val="0"/>
          <w:sz w:val="24"/>
          <w:szCs w:val="24"/>
        </w:rPr>
        <w:t xml:space="preserve">kategorii zákazníků </w:t>
      </w:r>
      <w:r w:rsidRPr="00235E1F">
        <w:rPr>
          <w:b w:val="0"/>
          <w:sz w:val="24"/>
          <w:szCs w:val="24"/>
        </w:rPr>
        <w:t>domácnost a maloodběratel, bez daňových položek</w:t>
      </w:r>
    </w:p>
    <w:p w:rsidR="00E03476" w:rsidRPr="006948EF" w:rsidRDefault="00E03476" w:rsidP="00F476E8">
      <w:r w:rsidRPr="006948EF">
        <w:rPr>
          <w:noProof/>
        </w:rPr>
        <w:drawing>
          <wp:inline distT="0" distB="0" distL="0" distR="0" wp14:anchorId="70915A57" wp14:editId="2FA53F17">
            <wp:extent cx="5972810" cy="2825750"/>
            <wp:effectExtent l="0" t="0" r="0" b="0"/>
            <wp:docPr id="11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82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48EF">
        <w:rPr>
          <w:noProof/>
        </w:rPr>
        <w:t xml:space="preserve"> </w:t>
      </w:r>
    </w:p>
    <w:p w:rsidR="008B02E8" w:rsidRPr="00AE60B8" w:rsidRDefault="008B02E8" w:rsidP="00F476E8">
      <w:pPr>
        <w:spacing w:line="276" w:lineRule="auto"/>
        <w:rPr>
          <w:bCs/>
          <w:spacing w:val="-4"/>
          <w:sz w:val="20"/>
        </w:rPr>
      </w:pPr>
    </w:p>
    <w:p w:rsidR="008B02E8" w:rsidRPr="00AE60B8" w:rsidRDefault="008B02E8" w:rsidP="008B02E8">
      <w:pPr>
        <w:spacing w:line="276" w:lineRule="auto"/>
        <w:jc w:val="center"/>
        <w:rPr>
          <w:bCs/>
          <w:spacing w:val="-4"/>
          <w:sz w:val="20"/>
        </w:rPr>
      </w:pPr>
    </w:p>
    <w:p w:rsidR="008B02E8" w:rsidRPr="00AE60B8" w:rsidRDefault="008B02E8" w:rsidP="008B02E8">
      <w:pPr>
        <w:pStyle w:val="Titulek"/>
        <w:keepNext/>
        <w:spacing w:after="120"/>
        <w:ind w:left="1418" w:hanging="1418"/>
        <w:jc w:val="both"/>
        <w:rPr>
          <w:sz w:val="24"/>
          <w:szCs w:val="24"/>
        </w:rPr>
      </w:pPr>
      <w:r w:rsidRPr="00AE60B8">
        <w:rPr>
          <w:sz w:val="24"/>
          <w:szCs w:val="24"/>
        </w:rPr>
        <w:t xml:space="preserve">Tabulka č. </w:t>
      </w:r>
      <w:r w:rsidR="005E75B8">
        <w:rPr>
          <w:sz w:val="24"/>
          <w:szCs w:val="24"/>
        </w:rPr>
        <w:t>2</w:t>
      </w:r>
      <w:r w:rsidRPr="00AE60B8">
        <w:rPr>
          <w:b w:val="0"/>
          <w:sz w:val="24"/>
          <w:szCs w:val="24"/>
        </w:rPr>
        <w:tab/>
      </w:r>
      <w:r w:rsidRPr="00235E1F">
        <w:rPr>
          <w:b w:val="0"/>
          <w:sz w:val="24"/>
          <w:szCs w:val="24"/>
        </w:rPr>
        <w:t>Porovnání odhadů ročních nákladů na dodávku plynu vybraných případů spotřeby</w:t>
      </w:r>
    </w:p>
    <w:p w:rsidR="00C10150" w:rsidRPr="00AE60B8" w:rsidRDefault="00551D63" w:rsidP="00295190">
      <w:pPr>
        <w:pStyle w:val="odstavec"/>
        <w:rPr>
          <w:szCs w:val="24"/>
        </w:rPr>
      </w:pPr>
      <w:r w:rsidRPr="00551D63">
        <w:rPr>
          <w:noProof/>
        </w:rPr>
        <w:drawing>
          <wp:inline distT="0" distB="0" distL="0" distR="0" wp14:anchorId="7BBF02D3" wp14:editId="4A07BB32">
            <wp:extent cx="6030595" cy="4024449"/>
            <wp:effectExtent l="0" t="0" r="825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402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0150" w:rsidRPr="00AE60B8" w:rsidSect="0039540B">
      <w:footerReference w:type="default" r:id="rId18"/>
      <w:footerReference w:type="first" r:id="rId19"/>
      <w:pgSz w:w="11907" w:h="16840" w:code="9"/>
      <w:pgMar w:top="1134" w:right="1276" w:bottom="567" w:left="1134" w:header="567" w:footer="567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239" w:rsidRDefault="001E4239">
      <w:r>
        <w:separator/>
      </w:r>
    </w:p>
  </w:endnote>
  <w:endnote w:type="continuationSeparator" w:id="0">
    <w:p w:rsidR="001E4239" w:rsidRDefault="001E4239">
      <w:r>
        <w:continuationSeparator/>
      </w:r>
    </w:p>
  </w:endnote>
  <w:endnote w:type="continuationNotice" w:id="1">
    <w:p w:rsidR="001E4239" w:rsidRDefault="001E42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AE" w:rsidRDefault="000F53A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B0669">
      <w:rPr>
        <w:noProof/>
      </w:rPr>
      <w:t>4</w:t>
    </w:r>
    <w:r>
      <w:fldChar w:fldCharType="end"/>
    </w:r>
  </w:p>
  <w:p w:rsidR="000F53AE" w:rsidRDefault="000F53A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AE" w:rsidRDefault="000F53A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B0669">
      <w:rPr>
        <w:noProof/>
      </w:rPr>
      <w:t>1</w:t>
    </w:r>
    <w:r>
      <w:fldChar w:fldCharType="end"/>
    </w:r>
  </w:p>
  <w:p w:rsidR="000F53AE" w:rsidRDefault="000F53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239" w:rsidRDefault="001E4239">
      <w:r>
        <w:separator/>
      </w:r>
    </w:p>
  </w:footnote>
  <w:footnote w:type="continuationSeparator" w:id="0">
    <w:p w:rsidR="001E4239" w:rsidRDefault="001E4239">
      <w:r>
        <w:continuationSeparator/>
      </w:r>
    </w:p>
  </w:footnote>
  <w:footnote w:type="continuationNotice" w:id="1">
    <w:p w:rsidR="001E4239" w:rsidRDefault="001E42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09D0"/>
    <w:multiLevelType w:val="hybridMultilevel"/>
    <w:tmpl w:val="228A91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6323FB"/>
    <w:multiLevelType w:val="hybridMultilevel"/>
    <w:tmpl w:val="7882955A"/>
    <w:lvl w:ilvl="0" w:tplc="8BEC7A3A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97D3A7B"/>
    <w:multiLevelType w:val="hybridMultilevel"/>
    <w:tmpl w:val="7A08F920"/>
    <w:lvl w:ilvl="0" w:tplc="05723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A045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3A5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469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BE8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52D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449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64C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B6C565A"/>
    <w:multiLevelType w:val="hybridMultilevel"/>
    <w:tmpl w:val="1BCE1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A25ACB"/>
    <w:multiLevelType w:val="hybridMultilevel"/>
    <w:tmpl w:val="C178D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F17794"/>
    <w:multiLevelType w:val="hybridMultilevel"/>
    <w:tmpl w:val="890AD6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A32BFB"/>
    <w:multiLevelType w:val="hybridMultilevel"/>
    <w:tmpl w:val="EAEC162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48"/>
    <w:rsid w:val="00000CAE"/>
    <w:rsid w:val="00004B9D"/>
    <w:rsid w:val="00007EBE"/>
    <w:rsid w:val="000119C2"/>
    <w:rsid w:val="00011AFF"/>
    <w:rsid w:val="0002534A"/>
    <w:rsid w:val="00027025"/>
    <w:rsid w:val="0002740E"/>
    <w:rsid w:val="00044FCB"/>
    <w:rsid w:val="00051103"/>
    <w:rsid w:val="00051EB9"/>
    <w:rsid w:val="00057F70"/>
    <w:rsid w:val="000632F2"/>
    <w:rsid w:val="000663F3"/>
    <w:rsid w:val="000666DB"/>
    <w:rsid w:val="0007598F"/>
    <w:rsid w:val="00081EF1"/>
    <w:rsid w:val="000933B0"/>
    <w:rsid w:val="000968AD"/>
    <w:rsid w:val="000B0669"/>
    <w:rsid w:val="000D018E"/>
    <w:rsid w:val="000D09BC"/>
    <w:rsid w:val="000D1C6E"/>
    <w:rsid w:val="000F53AE"/>
    <w:rsid w:val="000F7FB3"/>
    <w:rsid w:val="001019FC"/>
    <w:rsid w:val="00105762"/>
    <w:rsid w:val="00110C6D"/>
    <w:rsid w:val="001126F5"/>
    <w:rsid w:val="0011673D"/>
    <w:rsid w:val="00121585"/>
    <w:rsid w:val="0013719B"/>
    <w:rsid w:val="0015464F"/>
    <w:rsid w:val="001614F1"/>
    <w:rsid w:val="00164618"/>
    <w:rsid w:val="0017056D"/>
    <w:rsid w:val="001806D2"/>
    <w:rsid w:val="00180D94"/>
    <w:rsid w:val="00181A5B"/>
    <w:rsid w:val="00183D0F"/>
    <w:rsid w:val="00190CCF"/>
    <w:rsid w:val="001910DF"/>
    <w:rsid w:val="0019530D"/>
    <w:rsid w:val="001A7E19"/>
    <w:rsid w:val="001B46F1"/>
    <w:rsid w:val="001B5D77"/>
    <w:rsid w:val="001B6BB0"/>
    <w:rsid w:val="001C6302"/>
    <w:rsid w:val="001C7B5A"/>
    <w:rsid w:val="001D438A"/>
    <w:rsid w:val="001E4239"/>
    <w:rsid w:val="001E75AB"/>
    <w:rsid w:val="0020572B"/>
    <w:rsid w:val="0020584A"/>
    <w:rsid w:val="0020624B"/>
    <w:rsid w:val="002110D1"/>
    <w:rsid w:val="00216FC4"/>
    <w:rsid w:val="002231E4"/>
    <w:rsid w:val="002237AF"/>
    <w:rsid w:val="00230A3B"/>
    <w:rsid w:val="00235E1F"/>
    <w:rsid w:val="00242C15"/>
    <w:rsid w:val="002451DC"/>
    <w:rsid w:val="00246717"/>
    <w:rsid w:val="0024742E"/>
    <w:rsid w:val="002518D5"/>
    <w:rsid w:val="0025396C"/>
    <w:rsid w:val="00255039"/>
    <w:rsid w:val="00260AFD"/>
    <w:rsid w:val="00264410"/>
    <w:rsid w:val="00276214"/>
    <w:rsid w:val="002763CA"/>
    <w:rsid w:val="00291214"/>
    <w:rsid w:val="00295190"/>
    <w:rsid w:val="002A0B46"/>
    <w:rsid w:val="002A1C27"/>
    <w:rsid w:val="002A6293"/>
    <w:rsid w:val="002B0F0E"/>
    <w:rsid w:val="002B72E4"/>
    <w:rsid w:val="002C3D45"/>
    <w:rsid w:val="002D101C"/>
    <w:rsid w:val="002D1BC4"/>
    <w:rsid w:val="002D2FDE"/>
    <w:rsid w:val="002E1C82"/>
    <w:rsid w:val="002E6A37"/>
    <w:rsid w:val="002F5A24"/>
    <w:rsid w:val="002F6110"/>
    <w:rsid w:val="00301DFC"/>
    <w:rsid w:val="00306DFA"/>
    <w:rsid w:val="00312B7A"/>
    <w:rsid w:val="00331AAC"/>
    <w:rsid w:val="00331D9E"/>
    <w:rsid w:val="00336BF1"/>
    <w:rsid w:val="00342CA2"/>
    <w:rsid w:val="003477D3"/>
    <w:rsid w:val="00347FB9"/>
    <w:rsid w:val="0035325B"/>
    <w:rsid w:val="00357723"/>
    <w:rsid w:val="00362FCC"/>
    <w:rsid w:val="00363E2C"/>
    <w:rsid w:val="00371072"/>
    <w:rsid w:val="00373150"/>
    <w:rsid w:val="003945D0"/>
    <w:rsid w:val="0039540B"/>
    <w:rsid w:val="003A1096"/>
    <w:rsid w:val="003A2ABB"/>
    <w:rsid w:val="003B2EA6"/>
    <w:rsid w:val="003B3F92"/>
    <w:rsid w:val="003B7A85"/>
    <w:rsid w:val="003C2429"/>
    <w:rsid w:val="003C3DAF"/>
    <w:rsid w:val="003C7A09"/>
    <w:rsid w:val="003E2EC3"/>
    <w:rsid w:val="003F18E7"/>
    <w:rsid w:val="003F2A6E"/>
    <w:rsid w:val="0041058E"/>
    <w:rsid w:val="00413EBE"/>
    <w:rsid w:val="00413F6C"/>
    <w:rsid w:val="00415965"/>
    <w:rsid w:val="00417ABE"/>
    <w:rsid w:val="0042109E"/>
    <w:rsid w:val="004413F1"/>
    <w:rsid w:val="004461FB"/>
    <w:rsid w:val="0045090E"/>
    <w:rsid w:val="00450D90"/>
    <w:rsid w:val="004618A3"/>
    <w:rsid w:val="004836D4"/>
    <w:rsid w:val="004A7750"/>
    <w:rsid w:val="004B0967"/>
    <w:rsid w:val="004B167E"/>
    <w:rsid w:val="004B2DBD"/>
    <w:rsid w:val="004B3AD8"/>
    <w:rsid w:val="004C05FE"/>
    <w:rsid w:val="004C4D7E"/>
    <w:rsid w:val="004C51DC"/>
    <w:rsid w:val="004C51ED"/>
    <w:rsid w:val="004D078D"/>
    <w:rsid w:val="004D780D"/>
    <w:rsid w:val="004E7F39"/>
    <w:rsid w:val="004F1EA5"/>
    <w:rsid w:val="0050307F"/>
    <w:rsid w:val="0050331F"/>
    <w:rsid w:val="005034A6"/>
    <w:rsid w:val="00503660"/>
    <w:rsid w:val="00516267"/>
    <w:rsid w:val="005457AF"/>
    <w:rsid w:val="0055099C"/>
    <w:rsid w:val="00551D63"/>
    <w:rsid w:val="00554B90"/>
    <w:rsid w:val="005706F4"/>
    <w:rsid w:val="005852B9"/>
    <w:rsid w:val="00585FED"/>
    <w:rsid w:val="005A1F31"/>
    <w:rsid w:val="005B3778"/>
    <w:rsid w:val="005B437D"/>
    <w:rsid w:val="005E24A4"/>
    <w:rsid w:val="005E3F05"/>
    <w:rsid w:val="005E75B8"/>
    <w:rsid w:val="005E7978"/>
    <w:rsid w:val="005F1159"/>
    <w:rsid w:val="005F1B7F"/>
    <w:rsid w:val="005F3BD7"/>
    <w:rsid w:val="00603339"/>
    <w:rsid w:val="00615131"/>
    <w:rsid w:val="0063255C"/>
    <w:rsid w:val="0064369C"/>
    <w:rsid w:val="00644816"/>
    <w:rsid w:val="006465EC"/>
    <w:rsid w:val="006508BA"/>
    <w:rsid w:val="00652922"/>
    <w:rsid w:val="006646FE"/>
    <w:rsid w:val="00670193"/>
    <w:rsid w:val="006767E9"/>
    <w:rsid w:val="006814A8"/>
    <w:rsid w:val="00684FB8"/>
    <w:rsid w:val="00685D86"/>
    <w:rsid w:val="00686CD5"/>
    <w:rsid w:val="006948EF"/>
    <w:rsid w:val="00694C0F"/>
    <w:rsid w:val="00695C7C"/>
    <w:rsid w:val="00696C4F"/>
    <w:rsid w:val="006C4645"/>
    <w:rsid w:val="006D65B1"/>
    <w:rsid w:val="006D7571"/>
    <w:rsid w:val="006D7D82"/>
    <w:rsid w:val="006E4CD2"/>
    <w:rsid w:val="006F6557"/>
    <w:rsid w:val="006F78A0"/>
    <w:rsid w:val="0070609C"/>
    <w:rsid w:val="00710040"/>
    <w:rsid w:val="00712A19"/>
    <w:rsid w:val="0071312E"/>
    <w:rsid w:val="00724DB1"/>
    <w:rsid w:val="00736B68"/>
    <w:rsid w:val="00737565"/>
    <w:rsid w:val="00743C7F"/>
    <w:rsid w:val="0074618C"/>
    <w:rsid w:val="00755B1B"/>
    <w:rsid w:val="0076028F"/>
    <w:rsid w:val="00763E65"/>
    <w:rsid w:val="00764442"/>
    <w:rsid w:val="007651B3"/>
    <w:rsid w:val="0077016C"/>
    <w:rsid w:val="00771F8B"/>
    <w:rsid w:val="00776C5C"/>
    <w:rsid w:val="0077740B"/>
    <w:rsid w:val="00782BF8"/>
    <w:rsid w:val="00787A39"/>
    <w:rsid w:val="007910FE"/>
    <w:rsid w:val="007A2DDA"/>
    <w:rsid w:val="007B1101"/>
    <w:rsid w:val="007B1BDB"/>
    <w:rsid w:val="007B5408"/>
    <w:rsid w:val="007B6F84"/>
    <w:rsid w:val="007C1FAD"/>
    <w:rsid w:val="007C393F"/>
    <w:rsid w:val="007C3994"/>
    <w:rsid w:val="007C4F8F"/>
    <w:rsid w:val="007C5ED0"/>
    <w:rsid w:val="007C6D91"/>
    <w:rsid w:val="007D21C3"/>
    <w:rsid w:val="007E14F1"/>
    <w:rsid w:val="007E288D"/>
    <w:rsid w:val="007F1BE3"/>
    <w:rsid w:val="007F5E1B"/>
    <w:rsid w:val="00813FD1"/>
    <w:rsid w:val="00814A0E"/>
    <w:rsid w:val="00815A4E"/>
    <w:rsid w:val="00816584"/>
    <w:rsid w:val="00820168"/>
    <w:rsid w:val="00822497"/>
    <w:rsid w:val="00822AA0"/>
    <w:rsid w:val="0083179D"/>
    <w:rsid w:val="00840D59"/>
    <w:rsid w:val="008415DF"/>
    <w:rsid w:val="008474A8"/>
    <w:rsid w:val="00862D9E"/>
    <w:rsid w:val="008637A6"/>
    <w:rsid w:val="00872F12"/>
    <w:rsid w:val="0087385E"/>
    <w:rsid w:val="00873ED1"/>
    <w:rsid w:val="008770D8"/>
    <w:rsid w:val="00882B1B"/>
    <w:rsid w:val="00882D47"/>
    <w:rsid w:val="008945BE"/>
    <w:rsid w:val="0089611C"/>
    <w:rsid w:val="0089760E"/>
    <w:rsid w:val="008A4A78"/>
    <w:rsid w:val="008B02E8"/>
    <w:rsid w:val="008B3C65"/>
    <w:rsid w:val="008C0AF7"/>
    <w:rsid w:val="008C118D"/>
    <w:rsid w:val="008C7D53"/>
    <w:rsid w:val="008D5BF4"/>
    <w:rsid w:val="008E27E4"/>
    <w:rsid w:val="008E44D5"/>
    <w:rsid w:val="008E4EEC"/>
    <w:rsid w:val="008F1494"/>
    <w:rsid w:val="008F39E0"/>
    <w:rsid w:val="008F3A6D"/>
    <w:rsid w:val="009055AF"/>
    <w:rsid w:val="0090601F"/>
    <w:rsid w:val="00906EC2"/>
    <w:rsid w:val="00916547"/>
    <w:rsid w:val="00916750"/>
    <w:rsid w:val="00917034"/>
    <w:rsid w:val="00927F8F"/>
    <w:rsid w:val="00935F38"/>
    <w:rsid w:val="00940913"/>
    <w:rsid w:val="0095105D"/>
    <w:rsid w:val="00952F6A"/>
    <w:rsid w:val="00953CDD"/>
    <w:rsid w:val="00955BA8"/>
    <w:rsid w:val="00962040"/>
    <w:rsid w:val="00962ADA"/>
    <w:rsid w:val="00974D13"/>
    <w:rsid w:val="00976E67"/>
    <w:rsid w:val="009860DE"/>
    <w:rsid w:val="009867C0"/>
    <w:rsid w:val="00993526"/>
    <w:rsid w:val="009A658E"/>
    <w:rsid w:val="009A723B"/>
    <w:rsid w:val="009B3F05"/>
    <w:rsid w:val="009B4742"/>
    <w:rsid w:val="009B47D4"/>
    <w:rsid w:val="009C4261"/>
    <w:rsid w:val="009C432D"/>
    <w:rsid w:val="009C7310"/>
    <w:rsid w:val="009D0A64"/>
    <w:rsid w:val="009D0E56"/>
    <w:rsid w:val="009E2480"/>
    <w:rsid w:val="009E4773"/>
    <w:rsid w:val="009F472E"/>
    <w:rsid w:val="00A11A51"/>
    <w:rsid w:val="00A133FE"/>
    <w:rsid w:val="00A148B9"/>
    <w:rsid w:val="00A15D55"/>
    <w:rsid w:val="00A205D0"/>
    <w:rsid w:val="00A20B20"/>
    <w:rsid w:val="00A22F48"/>
    <w:rsid w:val="00A31751"/>
    <w:rsid w:val="00A35CF6"/>
    <w:rsid w:val="00A4291B"/>
    <w:rsid w:val="00A45678"/>
    <w:rsid w:val="00A47293"/>
    <w:rsid w:val="00A47527"/>
    <w:rsid w:val="00A60D8E"/>
    <w:rsid w:val="00A65366"/>
    <w:rsid w:val="00A67A7E"/>
    <w:rsid w:val="00A76114"/>
    <w:rsid w:val="00A77A06"/>
    <w:rsid w:val="00A77F71"/>
    <w:rsid w:val="00A803DE"/>
    <w:rsid w:val="00A84653"/>
    <w:rsid w:val="00A84DEA"/>
    <w:rsid w:val="00A901F9"/>
    <w:rsid w:val="00AA299E"/>
    <w:rsid w:val="00AA4B15"/>
    <w:rsid w:val="00AA6313"/>
    <w:rsid w:val="00AB6F86"/>
    <w:rsid w:val="00AB7D2E"/>
    <w:rsid w:val="00AC52EA"/>
    <w:rsid w:val="00AE1237"/>
    <w:rsid w:val="00AE60B8"/>
    <w:rsid w:val="00AF6405"/>
    <w:rsid w:val="00B02FBD"/>
    <w:rsid w:val="00B0341C"/>
    <w:rsid w:val="00B074BA"/>
    <w:rsid w:val="00B10659"/>
    <w:rsid w:val="00B26994"/>
    <w:rsid w:val="00B278A1"/>
    <w:rsid w:val="00B312FC"/>
    <w:rsid w:val="00B32134"/>
    <w:rsid w:val="00B3594B"/>
    <w:rsid w:val="00B42CFF"/>
    <w:rsid w:val="00B44BBD"/>
    <w:rsid w:val="00B44E38"/>
    <w:rsid w:val="00B46BCF"/>
    <w:rsid w:val="00B474A3"/>
    <w:rsid w:val="00B51B71"/>
    <w:rsid w:val="00B55B3F"/>
    <w:rsid w:val="00B6078E"/>
    <w:rsid w:val="00B735F9"/>
    <w:rsid w:val="00B81297"/>
    <w:rsid w:val="00B83BAD"/>
    <w:rsid w:val="00B868E4"/>
    <w:rsid w:val="00B92B9F"/>
    <w:rsid w:val="00B9664F"/>
    <w:rsid w:val="00BA3114"/>
    <w:rsid w:val="00BC1D3A"/>
    <w:rsid w:val="00BC284F"/>
    <w:rsid w:val="00BC4697"/>
    <w:rsid w:val="00BC6184"/>
    <w:rsid w:val="00BE09CA"/>
    <w:rsid w:val="00BE6110"/>
    <w:rsid w:val="00BF2F01"/>
    <w:rsid w:val="00C033E7"/>
    <w:rsid w:val="00C06807"/>
    <w:rsid w:val="00C10150"/>
    <w:rsid w:val="00C101E3"/>
    <w:rsid w:val="00C10848"/>
    <w:rsid w:val="00C15924"/>
    <w:rsid w:val="00C20E0C"/>
    <w:rsid w:val="00C212D0"/>
    <w:rsid w:val="00C21AF2"/>
    <w:rsid w:val="00C21F3E"/>
    <w:rsid w:val="00C247A4"/>
    <w:rsid w:val="00C2632A"/>
    <w:rsid w:val="00C31C2A"/>
    <w:rsid w:val="00C3581F"/>
    <w:rsid w:val="00C36769"/>
    <w:rsid w:val="00C4668A"/>
    <w:rsid w:val="00C47C49"/>
    <w:rsid w:val="00C708BD"/>
    <w:rsid w:val="00C721B1"/>
    <w:rsid w:val="00C81A93"/>
    <w:rsid w:val="00C9233D"/>
    <w:rsid w:val="00C931D5"/>
    <w:rsid w:val="00C9605B"/>
    <w:rsid w:val="00CA10F9"/>
    <w:rsid w:val="00CC5207"/>
    <w:rsid w:val="00CC5353"/>
    <w:rsid w:val="00CC6CFA"/>
    <w:rsid w:val="00CE1592"/>
    <w:rsid w:val="00CE1C59"/>
    <w:rsid w:val="00CE341F"/>
    <w:rsid w:val="00D03ACB"/>
    <w:rsid w:val="00D07278"/>
    <w:rsid w:val="00D16E9A"/>
    <w:rsid w:val="00D20303"/>
    <w:rsid w:val="00D25FE2"/>
    <w:rsid w:val="00D26C03"/>
    <w:rsid w:val="00D27878"/>
    <w:rsid w:val="00D32183"/>
    <w:rsid w:val="00D332AE"/>
    <w:rsid w:val="00D336E5"/>
    <w:rsid w:val="00D34749"/>
    <w:rsid w:val="00D37C22"/>
    <w:rsid w:val="00D44621"/>
    <w:rsid w:val="00D47D9C"/>
    <w:rsid w:val="00D60B9E"/>
    <w:rsid w:val="00D61632"/>
    <w:rsid w:val="00D72C69"/>
    <w:rsid w:val="00D84011"/>
    <w:rsid w:val="00D907A7"/>
    <w:rsid w:val="00D919A8"/>
    <w:rsid w:val="00D953AB"/>
    <w:rsid w:val="00D95455"/>
    <w:rsid w:val="00DA4E66"/>
    <w:rsid w:val="00DA7423"/>
    <w:rsid w:val="00DB2E74"/>
    <w:rsid w:val="00DB760B"/>
    <w:rsid w:val="00DC151B"/>
    <w:rsid w:val="00DC5808"/>
    <w:rsid w:val="00DD27C2"/>
    <w:rsid w:val="00DE102D"/>
    <w:rsid w:val="00DE1A20"/>
    <w:rsid w:val="00DE223C"/>
    <w:rsid w:val="00DE6AA3"/>
    <w:rsid w:val="00DF298D"/>
    <w:rsid w:val="00DF4E6A"/>
    <w:rsid w:val="00DF59AB"/>
    <w:rsid w:val="00E03476"/>
    <w:rsid w:val="00E06348"/>
    <w:rsid w:val="00E12B2A"/>
    <w:rsid w:val="00E13EB6"/>
    <w:rsid w:val="00E23EBF"/>
    <w:rsid w:val="00E275A2"/>
    <w:rsid w:val="00E27F01"/>
    <w:rsid w:val="00E3172D"/>
    <w:rsid w:val="00E61976"/>
    <w:rsid w:val="00E65C4F"/>
    <w:rsid w:val="00E71479"/>
    <w:rsid w:val="00E73C37"/>
    <w:rsid w:val="00E90233"/>
    <w:rsid w:val="00EA61FC"/>
    <w:rsid w:val="00EC5416"/>
    <w:rsid w:val="00ED4625"/>
    <w:rsid w:val="00EE2FB6"/>
    <w:rsid w:val="00F017A8"/>
    <w:rsid w:val="00F060CF"/>
    <w:rsid w:val="00F21DE5"/>
    <w:rsid w:val="00F258C3"/>
    <w:rsid w:val="00F30302"/>
    <w:rsid w:val="00F31099"/>
    <w:rsid w:val="00F3398A"/>
    <w:rsid w:val="00F45731"/>
    <w:rsid w:val="00F476E8"/>
    <w:rsid w:val="00F4776F"/>
    <w:rsid w:val="00F752F3"/>
    <w:rsid w:val="00F83077"/>
    <w:rsid w:val="00F87F52"/>
    <w:rsid w:val="00F966DF"/>
    <w:rsid w:val="00FB70D6"/>
    <w:rsid w:val="00FC463A"/>
    <w:rsid w:val="00FD4EE8"/>
    <w:rsid w:val="00FD4EF5"/>
    <w:rsid w:val="00FE4880"/>
    <w:rsid w:val="00FE5C7B"/>
    <w:rsid w:val="00FF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B1BDB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F017A8"/>
    <w:pPr>
      <w:spacing w:before="100" w:beforeAutospacing="1" w:after="100" w:afterAutospacing="1"/>
    </w:pPr>
    <w:rPr>
      <w:szCs w:val="24"/>
    </w:rPr>
  </w:style>
  <w:style w:type="character" w:styleId="Hypertextovodkaz">
    <w:name w:val="Hyperlink"/>
    <w:rsid w:val="00F017A8"/>
    <w:rPr>
      <w:color w:val="0000FF"/>
      <w:u w:val="single"/>
    </w:rPr>
  </w:style>
  <w:style w:type="paragraph" w:styleId="Textbubliny">
    <w:name w:val="Balloon Text"/>
    <w:basedOn w:val="Normln"/>
    <w:semiHidden/>
    <w:rsid w:val="00EE2FB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9C4261"/>
    <w:pPr>
      <w:shd w:val="clear" w:color="auto" w:fill="000080"/>
    </w:pPr>
    <w:rPr>
      <w:rFonts w:ascii="Tahoma" w:hAnsi="Tahoma" w:cs="Tahoma"/>
      <w:sz w:val="20"/>
    </w:rPr>
  </w:style>
  <w:style w:type="paragraph" w:customStyle="1" w:styleId="kde">
    <w:name w:val="kde"/>
    <w:basedOn w:val="Normln"/>
    <w:link w:val="kdeChar"/>
    <w:rsid w:val="004B167E"/>
    <w:pPr>
      <w:tabs>
        <w:tab w:val="left" w:pos="1440"/>
      </w:tabs>
      <w:ind w:left="1440" w:hanging="720"/>
    </w:pPr>
    <w:rPr>
      <w:sz w:val="23"/>
      <w:szCs w:val="23"/>
    </w:rPr>
  </w:style>
  <w:style w:type="character" w:customStyle="1" w:styleId="kdeChar">
    <w:name w:val="kde Char"/>
    <w:link w:val="kde"/>
    <w:rsid w:val="004B167E"/>
    <w:rPr>
      <w:sz w:val="23"/>
      <w:szCs w:val="23"/>
    </w:rPr>
  </w:style>
  <w:style w:type="character" w:styleId="Odkaznakoment">
    <w:name w:val="annotation reference"/>
    <w:rsid w:val="00B46BC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46BCF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B46BCF"/>
  </w:style>
  <w:style w:type="paragraph" w:styleId="Pedmtkomente">
    <w:name w:val="annotation subject"/>
    <w:basedOn w:val="Textkomente"/>
    <w:next w:val="Textkomente"/>
    <w:link w:val="PedmtkomenteChar"/>
    <w:rsid w:val="00B46BCF"/>
    <w:rPr>
      <w:b/>
      <w:bCs/>
    </w:rPr>
  </w:style>
  <w:style w:type="character" w:customStyle="1" w:styleId="PedmtkomenteChar">
    <w:name w:val="Předmět komentáře Char"/>
    <w:link w:val="Pedmtkomente"/>
    <w:rsid w:val="00B46BCF"/>
    <w:rPr>
      <w:b/>
      <w:bCs/>
    </w:rPr>
  </w:style>
  <w:style w:type="paragraph" w:styleId="Zkladntextodsazen">
    <w:name w:val="Body Text Indent"/>
    <w:basedOn w:val="Normln"/>
    <w:link w:val="ZkladntextodsazenChar"/>
    <w:unhideWhenUsed/>
    <w:rsid w:val="00A133FE"/>
    <w:pPr>
      <w:spacing w:after="120"/>
      <w:ind w:left="283"/>
    </w:pPr>
    <w:rPr>
      <w:szCs w:val="24"/>
    </w:rPr>
  </w:style>
  <w:style w:type="character" w:customStyle="1" w:styleId="ZkladntextodsazenChar">
    <w:name w:val="Základní text odsazený Char"/>
    <w:link w:val="Zkladntextodsazen"/>
    <w:rsid w:val="00A133FE"/>
    <w:rPr>
      <w:sz w:val="24"/>
      <w:szCs w:val="24"/>
    </w:rPr>
  </w:style>
  <w:style w:type="paragraph" w:styleId="Zhlav">
    <w:name w:val="header"/>
    <w:basedOn w:val="Normln"/>
    <w:link w:val="ZhlavChar"/>
    <w:rsid w:val="0095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52F6A"/>
    <w:rPr>
      <w:sz w:val="24"/>
    </w:rPr>
  </w:style>
  <w:style w:type="paragraph" w:styleId="Zpat">
    <w:name w:val="footer"/>
    <w:basedOn w:val="Normln"/>
    <w:link w:val="ZpatChar"/>
    <w:uiPriority w:val="99"/>
    <w:rsid w:val="00952F6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52F6A"/>
    <w:rPr>
      <w:sz w:val="24"/>
    </w:rPr>
  </w:style>
  <w:style w:type="table" w:styleId="Mkatabulky">
    <w:name w:val="Table Grid"/>
    <w:basedOn w:val="Normlntabulka"/>
    <w:rsid w:val="00646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qFormat/>
    <w:rsid w:val="006465EC"/>
    <w:rPr>
      <w:b/>
      <w:bCs/>
      <w:sz w:val="20"/>
    </w:rPr>
  </w:style>
  <w:style w:type="paragraph" w:customStyle="1" w:styleId="odstavec">
    <w:name w:val="_odstavec"/>
    <w:basedOn w:val="Normln"/>
    <w:qFormat/>
    <w:rsid w:val="006D7D82"/>
    <w:pPr>
      <w:spacing w:after="120" w:line="276" w:lineRule="auto"/>
      <w:ind w:firstLine="425"/>
      <w:jc w:val="both"/>
    </w:pPr>
    <w:rPr>
      <w:spacing w:val="-4"/>
    </w:rPr>
  </w:style>
  <w:style w:type="paragraph" w:styleId="Revize">
    <w:name w:val="Revision"/>
    <w:hidden/>
    <w:uiPriority w:val="99"/>
    <w:semiHidden/>
    <w:rsid w:val="00CA10F9"/>
    <w:rPr>
      <w:sz w:val="24"/>
    </w:rPr>
  </w:style>
  <w:style w:type="paragraph" w:styleId="Odstavecseseznamem">
    <w:name w:val="List Paragraph"/>
    <w:basedOn w:val="Normln"/>
    <w:uiPriority w:val="34"/>
    <w:qFormat/>
    <w:rsid w:val="00955B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B1BDB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F017A8"/>
    <w:pPr>
      <w:spacing w:before="100" w:beforeAutospacing="1" w:after="100" w:afterAutospacing="1"/>
    </w:pPr>
    <w:rPr>
      <w:szCs w:val="24"/>
    </w:rPr>
  </w:style>
  <w:style w:type="character" w:styleId="Hypertextovodkaz">
    <w:name w:val="Hyperlink"/>
    <w:rsid w:val="00F017A8"/>
    <w:rPr>
      <w:color w:val="0000FF"/>
      <w:u w:val="single"/>
    </w:rPr>
  </w:style>
  <w:style w:type="paragraph" w:styleId="Textbubliny">
    <w:name w:val="Balloon Text"/>
    <w:basedOn w:val="Normln"/>
    <w:semiHidden/>
    <w:rsid w:val="00EE2FB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9C4261"/>
    <w:pPr>
      <w:shd w:val="clear" w:color="auto" w:fill="000080"/>
    </w:pPr>
    <w:rPr>
      <w:rFonts w:ascii="Tahoma" w:hAnsi="Tahoma" w:cs="Tahoma"/>
      <w:sz w:val="20"/>
    </w:rPr>
  </w:style>
  <w:style w:type="paragraph" w:customStyle="1" w:styleId="kde">
    <w:name w:val="kde"/>
    <w:basedOn w:val="Normln"/>
    <w:link w:val="kdeChar"/>
    <w:rsid w:val="004B167E"/>
    <w:pPr>
      <w:tabs>
        <w:tab w:val="left" w:pos="1440"/>
      </w:tabs>
      <w:ind w:left="1440" w:hanging="720"/>
    </w:pPr>
    <w:rPr>
      <w:sz w:val="23"/>
      <w:szCs w:val="23"/>
    </w:rPr>
  </w:style>
  <w:style w:type="character" w:customStyle="1" w:styleId="kdeChar">
    <w:name w:val="kde Char"/>
    <w:link w:val="kde"/>
    <w:rsid w:val="004B167E"/>
    <w:rPr>
      <w:sz w:val="23"/>
      <w:szCs w:val="23"/>
    </w:rPr>
  </w:style>
  <w:style w:type="character" w:styleId="Odkaznakoment">
    <w:name w:val="annotation reference"/>
    <w:rsid w:val="00B46BC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46BCF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B46BCF"/>
  </w:style>
  <w:style w:type="paragraph" w:styleId="Pedmtkomente">
    <w:name w:val="annotation subject"/>
    <w:basedOn w:val="Textkomente"/>
    <w:next w:val="Textkomente"/>
    <w:link w:val="PedmtkomenteChar"/>
    <w:rsid w:val="00B46BCF"/>
    <w:rPr>
      <w:b/>
      <w:bCs/>
    </w:rPr>
  </w:style>
  <w:style w:type="character" w:customStyle="1" w:styleId="PedmtkomenteChar">
    <w:name w:val="Předmět komentáře Char"/>
    <w:link w:val="Pedmtkomente"/>
    <w:rsid w:val="00B46BCF"/>
    <w:rPr>
      <w:b/>
      <w:bCs/>
    </w:rPr>
  </w:style>
  <w:style w:type="paragraph" w:styleId="Zkladntextodsazen">
    <w:name w:val="Body Text Indent"/>
    <w:basedOn w:val="Normln"/>
    <w:link w:val="ZkladntextodsazenChar"/>
    <w:unhideWhenUsed/>
    <w:rsid w:val="00A133FE"/>
    <w:pPr>
      <w:spacing w:after="120"/>
      <w:ind w:left="283"/>
    </w:pPr>
    <w:rPr>
      <w:szCs w:val="24"/>
    </w:rPr>
  </w:style>
  <w:style w:type="character" w:customStyle="1" w:styleId="ZkladntextodsazenChar">
    <w:name w:val="Základní text odsazený Char"/>
    <w:link w:val="Zkladntextodsazen"/>
    <w:rsid w:val="00A133FE"/>
    <w:rPr>
      <w:sz w:val="24"/>
      <w:szCs w:val="24"/>
    </w:rPr>
  </w:style>
  <w:style w:type="paragraph" w:styleId="Zhlav">
    <w:name w:val="header"/>
    <w:basedOn w:val="Normln"/>
    <w:link w:val="ZhlavChar"/>
    <w:rsid w:val="0095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52F6A"/>
    <w:rPr>
      <w:sz w:val="24"/>
    </w:rPr>
  </w:style>
  <w:style w:type="paragraph" w:styleId="Zpat">
    <w:name w:val="footer"/>
    <w:basedOn w:val="Normln"/>
    <w:link w:val="ZpatChar"/>
    <w:uiPriority w:val="99"/>
    <w:rsid w:val="00952F6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52F6A"/>
    <w:rPr>
      <w:sz w:val="24"/>
    </w:rPr>
  </w:style>
  <w:style w:type="table" w:styleId="Mkatabulky">
    <w:name w:val="Table Grid"/>
    <w:basedOn w:val="Normlntabulka"/>
    <w:rsid w:val="00646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qFormat/>
    <w:rsid w:val="006465EC"/>
    <w:rPr>
      <w:b/>
      <w:bCs/>
      <w:sz w:val="20"/>
    </w:rPr>
  </w:style>
  <w:style w:type="paragraph" w:customStyle="1" w:styleId="odstavec">
    <w:name w:val="_odstavec"/>
    <w:basedOn w:val="Normln"/>
    <w:qFormat/>
    <w:rsid w:val="006D7D82"/>
    <w:pPr>
      <w:spacing w:after="120" w:line="276" w:lineRule="auto"/>
      <w:ind w:firstLine="425"/>
      <w:jc w:val="both"/>
    </w:pPr>
    <w:rPr>
      <w:spacing w:val="-4"/>
    </w:rPr>
  </w:style>
  <w:style w:type="paragraph" w:styleId="Revize">
    <w:name w:val="Revision"/>
    <w:hidden/>
    <w:uiPriority w:val="99"/>
    <w:semiHidden/>
    <w:rsid w:val="00CA10F9"/>
    <w:rPr>
      <w:sz w:val="24"/>
    </w:rPr>
  </w:style>
  <w:style w:type="paragraph" w:styleId="Odstavecseseznamem">
    <w:name w:val="List Paragraph"/>
    <w:basedOn w:val="Normln"/>
    <w:uiPriority w:val="34"/>
    <w:qFormat/>
    <w:rsid w:val="00955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0749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8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3730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8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4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8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723">
          <w:marLeft w:val="7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emf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_x00e1__x0159_ xmlns="c46c94c1-d6c9-409f-8e9d-734c1b52290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F97CB24555EB4B84A422684BF79DAC" ma:contentTypeVersion="1" ma:contentTypeDescription="Vytvoří nový dokument" ma:contentTypeScope="" ma:versionID="11c47d007d29b13a8392ecf208519a61">
  <xsd:schema xmlns:xsd="http://www.w3.org/2001/XMLSchema" xmlns:xs="http://www.w3.org/2001/XMLSchema" xmlns:p="http://schemas.microsoft.com/office/2006/metadata/properties" xmlns:ns2="c46c94c1-d6c9-409f-8e9d-734c1b522907" targetNamespace="http://schemas.microsoft.com/office/2006/metadata/properties" ma:root="true" ma:fieldsID="64dde8ae44ec3574121f2793b71f42ff" ns2:_="">
    <xsd:import namespace="c46c94c1-d6c9-409f-8e9d-734c1b522907"/>
    <xsd:element name="properties">
      <xsd:complexType>
        <xsd:sequence>
          <xsd:element name="documentManagement">
            <xsd:complexType>
              <xsd:all>
                <xsd:element ref="ns2:Koment_x00e1__x015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c94c1-d6c9-409f-8e9d-734c1b522907" elementFormDefault="qualified">
    <xsd:import namespace="http://schemas.microsoft.com/office/2006/documentManagement/types"/>
    <xsd:import namespace="http://schemas.microsoft.com/office/infopath/2007/PartnerControls"/>
    <xsd:element name="Koment_x00e1__x0159_" ma:index="8" nillable="true" ma:displayName="Komentář" ma:internalName="Koment_x00e1__x015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88562-BE9E-4523-9610-7CF7F6522A7B}">
  <ds:schemaRefs>
    <ds:schemaRef ds:uri="http://schemas.microsoft.com/office/2006/metadata/properties"/>
    <ds:schemaRef ds:uri="http://schemas.microsoft.com/office/infopath/2007/PartnerControls"/>
    <ds:schemaRef ds:uri="c46c94c1-d6c9-409f-8e9d-734c1b522907"/>
  </ds:schemaRefs>
</ds:datastoreItem>
</file>

<file path=customXml/itemProps2.xml><?xml version="1.0" encoding="utf-8"?>
<ds:datastoreItem xmlns:ds="http://schemas.openxmlformats.org/officeDocument/2006/customXml" ds:itemID="{34209645-DBBB-41BE-A3F4-94CE8C205B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FA7C7A-F865-49B6-8BB7-C81805E74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6c94c1-d6c9-409f-8e9d-734c1b522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5FF19D-2C21-401D-A0DF-046F71CAB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916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 ERÚ  k cenám regulovaných služeb souvisejících s dodávkou plynu</vt:lpstr>
    </vt:vector>
  </TitlesOfParts>
  <Company>ERU</Company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 ERÚ  k cenám regulovaných služeb souvisejících s dodávkou plynu</dc:title>
  <dc:creator>nemecek</dc:creator>
  <cp:lastModifiedBy>Černý Vladimír</cp:lastModifiedBy>
  <cp:revision>5</cp:revision>
  <cp:lastPrinted>2013-11-26T14:30:00Z</cp:lastPrinted>
  <dcterms:created xsi:type="dcterms:W3CDTF">2015-11-26T08:01:00Z</dcterms:created>
  <dcterms:modified xsi:type="dcterms:W3CDTF">2015-11-26T10:18:00Z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0x010100CCF97CB24555EB4B84A422684BF79DAC</vt:lpwstr>
  </property>
</Properties>
</file>